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ARMC.2014.38 vom 7. August 2014</w:t>
      </w:r>
    </w:p>
    <w:p>
      <w:r>
        <w:t>NE Tribunal cantonal, 2014-08-07, FR</w:t>
      </w:r>
    </w:p>
    <w:p>
      <w:r>
        <w:rPr>
          <w:b/>
        </w:rPr>
        <w:t xml:space="preserve">Quelle: </w:t>
      </w:r>
      <w:r>
        <w:t>https://mcp.opencaselaw.ch/entscheid/ne_gerichte_ARMC.2014.38</w:t>
      </w:r>
    </w:p>
    <w:p>
      <w:r>
        <w:t>FR: NE_GERICHTE ARMC.2014.38 du 7 août 2014</w:t>
      </w:r>
    </w:p>
    <w:p>
      <w:r>
        <w:t>IT: NE_GERICHTE ARMC.2014.38 del 7 agosto 2014</w:t>
      </w:r>
    </w:p>
    <w:p>
      <w:pPr>
        <w:pStyle w:val="Heading2"/>
      </w:pPr>
      <w:r>
        <w:t>Erwägungen</w:t>
      </w:r>
    </w:p>
    <w:p>
      <w:r>
        <w:rPr>
          <w:b/>
        </w:rPr>
        <w:t>E. 1</w:t>
      </w:r>
    </w:p>
    <w:p>
      <w:r>
        <w:t>a) Une décision ordonnant la suspension d’une procédure peut faire l’objet d’un recours (art. 126 al. 2, 319 let. b ch. 1 CPC). Avec la Chambre des recours civile du canton de Vaud, on admettra par ailleurs qu’elle constitue une ordonnance d’instruction (JT 2012 III 132 ; voir également à ce sujet arrêt du TF du 10.08.2010 [5A_276/2010 ] ), soumise par conséquent à un délai de recours de 10 jours (art. 321 al. 2 CPC), qui a en l’occurrence été respecté. Le recours est ainsi recevable. b) L'article 326 al. 1 CPC prohibe en procédure de recours la production de preuves nouvelles, de sorte que l'Autorité de céans s'en tiendra aux allégations des parties et au dossier constitué en première instance, à l'exclusion des nombreuses pièces déposées par la recourante à l'appui de son recours. c) La même disposition exclut aussi, en principe, de nouvelles allégations de fait dans le cadre d'un recours. Ce principe trouve toutefois sa limite lorsque, à l'instar de la présente espèce et à juste titre comme on le verra, une partie se plaint de ne pas avoir eu la parole avant qu'une décision ne soit rendue. En pareil cas, l'autorité de deuxième instance ne peut ignorer purement et simplement les allégations de la partie recourante, au motif – qui tiendrait de la pétition de principe – que celles-ci seraient nouvelles.</w:t>
      </w:r>
    </w:p>
    <w:p>
      <w:r>
        <w:rPr>
          <w:b/>
        </w:rPr>
        <w:t>E. 2</w:t>
      </w:r>
    </w:p>
    <w:p>
      <w:r>
        <w:t>La suspension litigieuse a été ordonnée non pas pour une cause légale (on songe par exemple à l’article 207 LP) mais pour des motifs d’opportunité, liés à la connexité – prétendue par le requérant et intimé et retenue par le premier juge – de la procédure civile considérée avec une procédure pénale en cours d’instruction. Pareils motifs sont sujets à interprétation de la part des parties à la procédure puis à appréciation du juge appelé à statuer, de sorte qu’il se justifie – sous la réserve éventuelle d’un cas d’urgence nullement allégué en l’occurrence – de faire application de la règle toute générale de l’article 53 CPC qui réserve le droit d’être entendu des parties à la procédure. En l’occurrence, ce droit n’a pas été respecté puisque la suspension de la procédure a été ordonnée sans que la recourante n’ait eu la possibilité de se prononcer sur la requête de l’intimé, qui ne lui pas été préalablement transmise, pas plus d’ailleurs que la demande. Le droit d’être entendu étant de nature formelle, sa violation entraîne à elle seule l’annulation de la décision entreprise, sans même qu’il soit nécessaire de se demander si son respect aurait conduit à une autre décision. Le pouvoir d’appréciation de l’Autorité de céans étant en effet limité, lorsqu’il s’agit de statuer en opportunité, il ne lui est pas possible de substituer sa propre opinion à celle du premier juge, que celui-ci n’a au demeurant pratiquement pas explicitée (voir Haldy , CR-CPC, n. 19 et 20 ad art. 53).</w:t>
      </w:r>
    </w:p>
    <w:p>
      <w:r>
        <w:rPr>
          <w:b/>
        </w:rPr>
        <w:t>E. 3</w:t>
      </w:r>
    </w:p>
    <w:p>
      <w:r>
        <w:t>C’est le lieu d’observer une deuxième violation du droit d’être entendue de la recourante, que celle-ci fait valoir avec raison. Ce droit a en effet pour corollaire celui d’obtenir de la part du juge une décision motivée, de manière à permettre à une partie de comprendre le raisonnement tenu par le premier juge pour cas échéant pouvoir le contester utilement devant l’autorité de recours et à cette dernière d’exercer son contrôle ( Haldy , op. cit. n. 14 ad art. 53). En l’espèce, l’ordonnance entreprise se borne à constater qu’il existerait deux procédures en cours portant sur le mêmes faits, l’une civile et l’autre pénale, ce qui justifierait la suspension de la première jusqu’à droit connu dans la seconde. Ce faisant, le premier juge ne fait guère autre chose que de reproduire, en d’autres termes, la règle posée à l’article 126 al. 1 CPC . Pour qu’une décision de suspension puisse être considérée comme motivée, il ne suffit pas d’affirmer que la décision à rendre dépend du sort d’un autre procès (ce sont les termes mêmes de la loi); encore faut-il expliquer en quoi consiste concrètement, dans le cas d’espèce, cette dépendance d’un procès par rapport à l’autre, ce que l’on recherche en vain dans l’ordonnance du 17 avril 2014. La décision entreprise doit ainsi être annulée pour ce deuxième motif également et la cause renvoyée au premier juge pour nouvelle décision, après que la défenderesse aura été dûment invitée à se prononcer sur la requête de suspension du demandeur.</w:t>
      </w:r>
    </w:p>
    <w:p>
      <w:r>
        <w:rPr>
          <w:b/>
        </w:rPr>
        <w:t>E. 4</w:t>
      </w:r>
    </w:p>
    <w:p>
      <w:r>
        <w:t>L’Autorité de céans n’ayant, comme déjà relevé, pas à substituer sa propre appréciation à celle du premier juge, il serait prématuré de se prononcer sur les deux autres motifs allégués par la recourante. On notera toutefois que la décision à rendre devra prendre en compte, comme soutenu par la recourante, le principe de célérité et procéder à cet égard à une pesée des intérêts en présence. Celui de la recourante – alors que nous sommes déjà en 2014 – à disposer de comptes pour l’exercice 2010 définitifs, éventuellement corrigés des erreurs que la procédure pourrait mettre en évidence, n’est pas négligeable, les comptes des années suivantes étant par définition influencés par les reports intervenus du 31 décembre 2010 au 1 er janvier 2011. Celui des deux parties à connaître le plus rapidement possible la composition effective de l'actionnariat, laquelle dépend de la validité ou non de la décision d'augmentation du capital-actions contestée, ne peut pas non plus être ignoré, pour une société qui poursuit ses activités. S’agissant enfin de l’existence ou non de motifs d’opportunité, au sens de l’article 126 al. 1 CPC , il convient d’observer qu’une procédure pénale n’a pas pour but de dispenser le demandeur au civil de prouver les faits qu’il allègue. Plus que la question de l’état de fait sur lequel reposeraient les deux procédures, qui devrait à suivre le demandeur et intimé être identique, raison pour laquelle la procédure civile devrait être suspendue jusqu’à droit connu au pénal pour permettre au juge civil, si on comprend bien le demandeur, d’ « importer » en quelque sorte les faits de la procédure pénale dans la procédure civile – pour éviter l'écueil de « contradictions factuelles », pour reprendre les termes de la requête de suspension de l’intimé –, c’est celle de la dépendance du sort de la procédure civile par rapport à celui de la procédure pénale, qui est déterminante. Autrement dit, ce n’est pas tant de savoir si les administrateurs de X. SA seront ou non condamnés pour gestion déloyale qui importe, que de déterminer si leur condamnation ou leur acquittement est de nature à influer ou non sur le bien-fondé des décisions d’assemblée générale contestées dans la procédure civile.</w:t>
      </w:r>
    </w:p>
    <w:p>
      <w:r>
        <w:rPr>
          <w:b/>
        </w:rPr>
        <w:t>E. 5</w:t>
      </w:r>
    </w:p>
    <w:p>
      <w:r>
        <w:t>Vu le sort réservé au recours, l’intimé, qui avait conclu à son rejet, devra supporter les frais de la procédure de deuxième instance et verser une indemnité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