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ARMC.2013.87 vom 17. Juni 2013</w:t>
      </w:r>
    </w:p>
    <w:p>
      <w:r>
        <w:t>NE Tribunal cantonal, 2013-06-17, FR</w:t>
      </w:r>
    </w:p>
    <w:p>
      <w:r>
        <w:rPr>
          <w:b/>
        </w:rPr>
        <w:t xml:space="preserve">Quelle: </w:t>
      </w:r>
      <w:r>
        <w:t>https://mcp.opencaselaw.ch/entscheid/ne_gerichte_ARMC.2013.87_d20130617</w:t>
      </w:r>
    </w:p>
    <w:p>
      <w:r>
        <w:t>FR: NE_GERICHTE ARMC.2013.87 du 17 juin 2013</w:t>
      </w:r>
    </w:p>
    <w:p>
      <w:r>
        <w:t>IT: NE_GERICHTE ARMC.2013.87 del 17 giugno 2013</w:t>
      </w:r>
    </w:p>
    <w:p>
      <w:pPr>
        <w:pStyle w:val="Heading2"/>
      </w:pPr>
      <w:r>
        <w:t>Regeste</w:t>
      </w:r>
    </w:p>
    <w:p>
      <w:r>
        <w:t>Mainlevée définitive de l'opposition. Portée de l'acte de défaut de biens délivré contre le conjoint.</w:t>
      </w:r>
    </w:p>
    <w:p>
      <w:pPr>
        <w:pStyle w:val="Heading2"/>
      </w:pPr>
      <w:r>
        <w:t>Erwägungen</w:t>
      </w:r>
    </w:p>
    <w:p>
      <w:r>
        <w:rPr>
          <w:b/>
        </w:rPr>
        <w:t>E. 1</w:t>
      </w:r>
    </w:p>
    <w:p>
      <w:r>
        <w:t>lorsqu'il y a été autorisé par son conjoint ou par le juge;</w:t>
      </w:r>
    </w:p>
    <w:p>
      <w:r>
        <w:rPr>
          <w:b/>
        </w:rPr>
        <w:t>E. 2</w:t>
      </w:r>
    </w:p>
    <w:p>
      <w:r>
        <w:t>lorsque l'affaire ne souffre aucun retard et que le conjoint est empêché par la maladie, l'absence ou d'autres causes semblables de donner son consentement.</w:t>
      </w:r>
    </w:p>
    <w:p>
      <w:r>
        <w:t>3Chaque époux s'oblige personnellement par ses actes et il oblige solidairement son conjoint en tant qu'il n'excède pas ses pouvoirs d'une manière reconnaissable pour les tiers.</w:t>
      </w:r>
    </w:p>
    <w:p>
      <w:r>
        <w:t>Sauf stipulation contraire, l'un des débiteurs solidaires ne peut aggraver par son fait personnel la position des autres.</w:t>
      </w:r>
    </w:p>
    <w:p>
      <w:r>
        <w:rPr>
          <w:b/>
        </w:rPr>
        <w:t>E. 3</w:t>
      </w:r>
    </w:p>
    <w:p>
      <w:r>
        <w:t>Selon l'article 149 al. 2 LP , l'acte de défaut de biens délivré après une saisie infructueuse vaut comme reconnaissance de dette au sens de l'article 82 LP . L'article 166 al. 1 CC prévoit que chaque époux représente l'union conjugale pour les besoins courants de la famille pendant la vie commune. L'alinéa 3 du même article stipule, quant à lui, que chaque époux s'oblige personnellement par ses actes et qu'il oblige solidairement son conjoint en tant qu'il n'excède pas ses pouvoirs d'une manière reconnaissable pour les tiers. En outre, selon l'article 15 LCdir , les époux qui vivent en ménage commun répondent solidairement du montant global de l'impôt. Toutefois, chaque époux répond du montant correspondant à sa part de l'impôt total lorsque l'insolvabilité de l'un deux a été établie. On ne saurait en conclure que les actes de défaut de biens délivrés à l'encontre du mari de l'intimée valent reconnaissance de dette au sens de l'article 82 LP à l'égard de celle-ci. En effet, selon l'article 146 CO , sauf stipulation contraire, l'un des débiteurs solidaires ne peut aggraver, par son fait personnel, la position des autres. On ne peut par conséquent pas déduire du fait que le mari de l'intimée n'a pas fait opposition aux poursuites intentées à son encontre par l'Etat de Neuchâtel et la Commune du Landeron, ou que ceux-ci en ont obtenu la mainlevée, que les actes de défaut de biens délivrés aux créanciers à l'issue de la procédure de poursuite valent également reconnaissance de dette à l'égard de l'intimée elle-même. Un acte de défaut de biens après saisie n'a d'effet qu'à l'encontre du poursuivi et ne concerne en rien les tiers. Par ailleurs, la procédure de mainlevée est une procédure soumise à un certain formalisme qui exclut d'opposer à un débiteur un acte de défaut de biens délivré contre un autre débiteur, fût-il son conjoint et basé sur une dette ordinaire du droit de la famille ( RJN 2009, p. 418 et les références citées). Certes, en 2009 [CCC.2008.110], la Cour de cassation civile avait rejeté le recours d'une débitrice dans une situation analogue, mais, comme elle l'a précisé dans son arrêt du 3 novembre 2009 (RJN 2009 p. 420), elle s'était alors concentrée sur le délai de prescription de l'article 149a LP, sans trancher la question de la reconnaissance de dette.</w:t>
      </w:r>
    </w:p>
    <w:p>
      <w:r>
        <w:rPr>
          <w:b/>
        </w:rPr>
        <w:t>E. 4</w:t>
      </w:r>
    </w:p>
    <w:p>
      <w:r>
        <w:t>Pour ces motifs, le recours doit être rejeté et les frais mis à charge de leurs auteurs, sans octroi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