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ARMC.2012.33 vom 5. Juni 2012</w:t>
      </w:r>
    </w:p>
    <w:p>
      <w:r>
        <w:t>NE Tribunal cantonal, 2012-06-05, FR</w:t>
      </w:r>
    </w:p>
    <w:p>
      <w:r>
        <w:rPr>
          <w:b/>
        </w:rPr>
        <w:t xml:space="preserve">Quelle: </w:t>
      </w:r>
      <w:r>
        <w:t>https://mcp.opencaselaw.ch/entscheid/ne_gerichte_ARMC.2012.33</w:t>
      </w:r>
    </w:p>
    <w:p>
      <w:r>
        <w:t>FR: NE_GERICHTE ARMC.2012.33 du 5 juin 2012</w:t>
      </w:r>
    </w:p>
    <w:p>
      <w:r>
        <w:t>IT: NE_GERICHTE ARMC.2012.33 del 5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dépôt en justice dune procuration éteinte (art. 36, al. 1, CO1),</w:t>
      </w:r>
    </w:p>
    <w:p>
      <w:r>
        <w:rPr>
          <w:b/>
        </w:rPr>
        <w:t>E. 2</w:t>
      </w:r>
    </w:p>
    <w:p>
      <w:r>
        <w:t>fixation dun délai convenable pour la fourniture de sûretés (art. 83, al. 2, CO),</w:t>
      </w:r>
    </w:p>
    <w:p>
      <w:r>
        <w:rPr>
          <w:b/>
        </w:rPr>
        <w:t>E. 3</w:t>
      </w:r>
    </w:p>
    <w:p>
      <w:r>
        <w:t>consignation et vente de la chose due en cas de demeure du créancier (art. 92, al. 2, et 93, al. 2, CO),</w:t>
      </w:r>
    </w:p>
    <w:p>
      <w:r>
        <w:rPr>
          <w:b/>
        </w:rPr>
        <w:t>E. 4</w:t>
      </w:r>
    </w:p>
    <w:p>
      <w:r>
        <w:t>autorisation de lexécution par un tiers (art. 98 CO),</w:t>
      </w:r>
    </w:p>
    <w:p>
      <w:r>
        <w:rPr>
          <w:b/>
        </w:rPr>
        <w:t>E. 5</w:t>
      </w:r>
    </w:p>
    <w:p>
      <w:r>
        <w:t>fixation dun délai en cas dinexécution dun contrat (art. 107, al. 12, CO),</w:t>
      </w:r>
    </w:p>
    <w:p>
      <w:r>
        <w:rPr>
          <w:b/>
        </w:rPr>
        <w:t>E. 6</w:t>
      </w:r>
    </w:p>
    <w:p>
      <w:r>
        <w:t>restitution de lobjet dun séquestre (art. 480 CO),</w:t>
      </w:r>
    </w:p>
    <w:p>
      <w:r>
        <w:rPr>
          <w:b/>
        </w:rPr>
        <w:t>E. 7</w:t>
      </w:r>
    </w:p>
    <w:p>
      <w:r>
        <w:t>couverture par gage dune créance garantie par cautionnement solidaire (art. 496, al. 2, CO),</w:t>
      </w:r>
    </w:p>
    <w:p>
      <w:r>
        <w:rPr>
          <w:b/>
        </w:rPr>
        <w:t>E. 8</w:t>
      </w:r>
    </w:p>
    <w:p>
      <w:r>
        <w:t>suspension de la poursuite contre la caution moyennant sûretés (art. 501, al. 2, CO),</w:t>
      </w:r>
    </w:p>
    <w:p>
      <w:r>
        <w:rPr>
          <w:b/>
        </w:rPr>
        <w:t>E. 9</w:t>
      </w:r>
    </w:p>
    <w:p>
      <w:r>
        <w:t>convocation de lassemblée générale de la société anonyme ou de la société coopérative et inscription dun objet à lordre du jour et convocation de lassemblée générale de la société à responsabilité limitée (art. 699, al. 4, 805, al. 5, ch. 2, et 881, al. 3, CO),</w:t>
      </w:r>
    </w:p>
    <w:p>
      <w:r>
        <w:rPr>
          <w:b/>
        </w:rPr>
        <w:t>E. 10</w:t>
      </w:r>
    </w:p>
    <w:p>
      <w:r>
        <w:t>désignation dun représentant de la société en cas daction en annulation dune décision de lassemblée générale intentée par son administration (art. 706a, al. 2, 808cet 891, al. 1, CO),</w:t>
      </w:r>
    </w:p>
    <w:p>
      <w:r>
        <w:rPr>
          <w:b/>
        </w:rPr>
        <w:t>E. 11</w:t>
      </w:r>
    </w:p>
    <w:p>
      <w:r>
        <w:t>désignation et révocation de lorgane de révision (art. 731bCO),</w:t>
      </w:r>
    </w:p>
    <w:p>
      <w:r>
        <w:rPr>
          <w:b/>
        </w:rPr>
        <w:t>E. 12</w:t>
      </w:r>
    </w:p>
    <w:p>
      <w:r>
        <w:t>consignation du montant de créances en cas de liquidation (art. 744, 770, 826, al. 2, et 913 CO),</w:t>
      </w:r>
    </w:p>
    <w:p>
      <w:r>
        <w:rPr>
          <w:b/>
        </w:rPr>
        <w:t>E. 13</w:t>
      </w:r>
    </w:p>
    <w:p>
      <w:r>
        <w:t>révocation des administrateurs et des contrôleurs de la société coopérative (art. 890, al. 2, CO);</w:t>
      </w:r>
    </w:p>
    <w:p>
      <w:r>
        <w:t>d.</w:t>
      </w:r>
    </w:p>
    <w:p>
      <w:r>
        <w:t>papiers-valeurs:</w:t>
      </w:r>
    </w:p>
    <w:p>
      <w:r>
        <w:t>1.</w:t>
      </w:r>
    </w:p>
    <w:p>
      <w:r>
        <w:t>annulation de papiers-valeurs (art. 981 CO),</w:t>
      </w:r>
    </w:p>
    <w:p>
      <w:r>
        <w:t>2.</w:t>
      </w:r>
    </w:p>
    <w:p>
      <w:r>
        <w:t>interdiction de payer une lettre de change et consignation du montant de la lettre de change (art. 1072 CO),</w:t>
      </w:r>
    </w:p>
    <w:p>
      <w:r>
        <w:t>3.</w:t>
      </w:r>
    </w:p>
    <w:p>
      <w:r>
        <w:t>extinction des pouvoirs conférés par lassemblée des créanciers au représentant de la communauté dun emprunt par obligations (art. 1162, al. 4, CO),</w:t>
      </w:r>
    </w:p>
    <w:p>
      <w:r>
        <w:t>4.</w:t>
      </w:r>
    </w:p>
    <w:p>
      <w:r>
        <w:t>convocation de lassemblée générale des créanciers à la demande des créanciers (art. 1165, al. 3 et 4, CO).</w:t>
      </w:r>
    </w:p>
    <w:p>
      <w:r>
        <w:t>1RS2202Rectifié par la Commission de rédaction de lAss. féd. (art. 58, al. 1, LParl; RS171.10).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