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1214 vom 20. November 1995</w:t>
      </w:r>
    </w:p>
    <w:p>
      <w:r>
        <w:t>NE Tribunal cantonal, 1995-11-20, FR</w:t>
      </w:r>
    </w:p>
    <w:p>
      <w:r>
        <w:rPr>
          <w:b/>
        </w:rPr>
        <w:t xml:space="preserve">Quelle: </w:t>
      </w:r>
      <w:r>
        <w:t>https://mcp.opencaselaw.ch/entscheid/ne_gerichte_1214</w:t>
      </w:r>
    </w:p>
    <w:p>
      <w:r>
        <w:t>FR: NE_GERICHTE 1214 du 20 novembre 1995</w:t>
      </w:r>
    </w:p>
    <w:p>
      <w:r>
        <w:t>IT: NE_GERICHTE 1214 del 20 novembre 1995</w:t>
      </w:r>
    </w:p>
    <w:p>
      <w:pPr>
        <w:pStyle w:val="Heading2"/>
      </w:pPr>
      <w:r>
        <w:t>Regeste</w:t>
      </w:r>
    </w:p>
    <w:p>
      <w:r>
        <w:t>Adoption d'un majeur.</w:t>
      </w:r>
    </w:p>
    <w:p>
      <w:pPr>
        <w:pStyle w:val="Heading2"/>
      </w:pPr>
      <w:r>
        <w:t>Erwägungen</w:t>
      </w:r>
    </w:p>
    <w:p>
      <w:r>
        <w:rPr>
          <w:b/>
        </w:rPr>
        <w:t>E. 2</w:t>
      </w:r>
    </w:p>
    <w:p>
      <w:r>
        <w:t>Si l'adoptant meurt ou perd le discernement après le dépôt de la requête, l'adoption reste certes possible, pour autant toutefois que la réalisation des autres conditions ne s'en trouve pas compromise, la question centrale restant alors celle de savoir si, dans les circonstances ainsi modifiées, l'adoption sert encore au bien de l'enfant (art. 268 al. 2 CC ; Hegnauer, Droit suisse de la filiation, 3e éd., 1990, n° 13.05). In casu, M. a confirmé sa demande d'adoption, après le décès de R., en soutenant qu'il s'agissait essentiellement de respecter le désir de ce dernier. Ainsi que l'autorité tutélaire l'a relevé, un tel mobile est étranger à la condition essentielle de l'adoption, qui est de servir au bien de l'enfant (art. 264 CC ). Il résulte de surcroît du dossier que les époux R. n'ont entrepris aucune démarche en vue d'adopter M. alors qu'elle était encore mineure, ni ultérieurement. On ne voit dès lors pas pour quelle raison il se justifierait, dans l'intérêt de la future adoptée, "d'officialiser un état de fait" (selon l'expression utilisée dans la requête) qui a duré plus de cinquante ans jusqu'au dépôt de la requête.</w:t>
      </w:r>
    </w:p>
    <w:p>
      <w:r>
        <w:rPr>
          <w:b/>
        </w:rPr>
        <w:t>E. 3</w:t>
      </w:r>
    </w:p>
    <w:p>
      <w:r>
        <w:t>décembre 1996, le Tribunal fédéral a déclaré irrecevable le recours interjeté par M. contre cette décision. S'agissant en particulier de la qualité pour recourir, il a considéré ce qui suit: 2. Le recours en réforme est recevable en cas de refus de l'adoption (art. 44 let. c OJ ). Toutefois, d'après l'opinion dominante, cette voie de droit n'est ouverte qu'à la personne ayant requis l'adoption, et non à celle qui doit être adoptée ( ATF 111 II 317 consid. 1 in fine p. 321 et les références; Grossen, FJS n° 1356 p. 4; Hegnauer/Schneider, Droit suisse de la filiation, 3e éd., 1990, ch. 13.09; Poudret, La recevabilité du recours en réforme au sujet du consentement parental à l'adoption, in JT 1986 I 310 , 313 ; Stettler, Le droit suisse de la filiation, in Traité de droit privé suisse III/II/1, p. 167 let. B; d'un autre avis: Piotet, La qualité pour recourir en matière de juridiction civile non contentieuse, in Recueil de travaux publié par la Faculté de droit de l'Université de Lausanne, 1996, p. 327 ss, spéc. p. 346). Dans l'arrêt paru aux ATF 106 II 6 , le recours en réforme avait, il est vrai, été interjeté conjointement par le requérant et la personne à adopter; mais on ne saurait en tirer la conclusion que le recours déposé à titre indépendant par celle-ci eût été recevable, le Tribunal fédéral n'ayant pas examiné ce point. Il faut concéder à la recourante que la solution apparaît moins évidente dans l'hypothèse visée à l'art. 268 al. 2 CC , à savoir lorsque, comme en l'espèce, le requérant est décédé postérieurement au dépôt de la demande d'adoption.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