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MKGE 9 Nr. 39</w:t>
      </w:r>
    </w:p>
    <w:p>
      <w:r>
        <w:t>Mkg, 1974-03-29, FR</w:t>
      </w:r>
    </w:p>
    <w:p>
      <w:r>
        <w:rPr>
          <w:b/>
        </w:rPr>
        <w:t xml:space="preserve">Quelle: </w:t>
      </w:r>
      <w:r>
        <w:t>https://mcp.opencaselaw.ch/entscheid/mkg_MKGE_9_Nr_39</w:t>
      </w:r>
    </w:p>
    <w:p>
      <w:r>
        <w:t>FR: ATMC 9 n° 39</w:t>
      </w:r>
    </w:p>
    <w:p>
      <w:r>
        <w:t>IT: STMC 9 n. 39</w:t>
      </w:r>
    </w:p>
    <w:p>
      <w:pPr>
        <w:pStyle w:val="Heading2"/>
      </w:pPr>
      <w:r>
        <w:t>Volltext</w:t>
      </w:r>
    </w:p>
    <w:p>
      <w:r>
        <w:t>61 Nr. 39, 40 nal de cassation (ATF 88 IV 114; 81 IV 8; 76 IV 143 et les arrêts cités). Bien qu'il n'existe pas dans le CPM de disposition semblable à celle de l'article 13 du CPS, le Tribunal militaire de cassation, dans un e jurisprudence constante, a jugé qu'une expertise doit être ordonnée lorsqu'existent des doutes sur la responsabilité pénale de l'accusé (ATMC 5 no 20; ATMC 8 no 71; Haefiiger, N. 3 ad art. 95 OJPPM). 11 n' en reste p as moins q ue la responsabilité pénale est généralement présumée et qu'une expertise ne s'impose que lorsqu'il y a doute (Schultz, Einführung in den Allgemeinen Teil des Strafrechts, vol. l, p. 125; Logoz, N. let 3 ad art. 13 CPS, ATF 78 IV 211). En l'occurrence, les premiers juges ont &gt;. Ils n'ont nullement constaté que l'accusé n'eftt pas, au moment du délit, la faculté de régler sa conduite en conséquence, mais relevent au contraire que &gt; Ces considérants sont l'expression d'une conviction tres nette ne laissant planer aucun do u te sur l'intégrité mentale du recourant. Les premiers juges se son t prononcés apres avoir vu et entendu R. don t le comportement n'est pas apparu comme étant celui d' un homme souf- frant de troubles dans sa santé mentale ou dans sa conscience ou don t le déve- loppement mental serait incomplet. Leur appréciation échappe au grief de l'arbitraire et rien n'exige, en conséquence, qu'on procede à une expertise psychiatrique. 3.- ... (29 mars 1974, R. e. TD l) 40. Bedingter Strafvollzug (Art. 32 Ziff. l Abs. 2 MStG); Notwendigkeit vor- aussichtlicher Besserung: massgebend ist, o b Vorleben, Charakter und (gege- benenfalls) di e militãrische Führung Besserung verheissen; eine unbestimmte Hoffnung des Richters genügt nicht. Sursis (art. 32, eh. 1er, 2e al. CPM); un amendement doit être prévisible: il faut que les antécédents, le caractere et (le cas échéant) la conduite militaire fassent augurer un redressement; un vague espoir du juge ne suffit pas. Sospensione condizionale della pena ( art. 32 n. l cpv. 2 CPM); necessità del presumibile miglioramento: determinante e se vita anteriore, carattere e (se de l caso) condotta militare promettano un miglioramento; no n ba s ta un a vaga speranza del giudice. Aus den Erwãgungen: 3.- Der Beschwerdeführer verlangt den Ausschluss aus dem Heer und behauptet, es sei widersprüchlich, ihn einerseits nicht aus dem Heer auszu-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