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27</w:t>
      </w:r>
    </w:p>
    <w:p>
      <w:r>
        <w:t>Mkg, 1973-11-22, DE</w:t>
      </w:r>
    </w:p>
    <w:p>
      <w:r>
        <w:rPr>
          <w:b/>
        </w:rPr>
        <w:t xml:space="preserve">Quelle: </w:t>
      </w:r>
      <w:r>
        <w:t>https://mcp.opencaselaw.ch/entscheid/mkg_MKGE_9_Nr_27</w:t>
      </w:r>
    </w:p>
    <w:p>
      <w:r>
        <w:t>FR: ATMC 9 n° 27</w:t>
      </w:r>
    </w:p>
    <w:p>
      <w:r>
        <w:t>IT: STMC 9 n. 27</w:t>
      </w:r>
    </w:p>
    <w:p>
      <w:pPr>
        <w:pStyle w:val="Heading2"/>
      </w:pPr>
      <w:r>
        <w:t>Volltext</w:t>
      </w:r>
    </w:p>
    <w:p>
      <w:r>
        <w:t>47 Nr. 27, 28 fehler schliessen lãsst. An di e Gewãhr, di e ein nach Art. 91 Abs. l SVG V erur- teilter für künftiges Wohlverhalten bieten muss, sind daher aus spezial- und generalprãventiven Gründen selbst dann hohe Anforderungen zu stellen, wenn sich der Tãter zum ersten Mal wegen Fahrens in angetrunkenem Zustand zu verantworten hat und sein allgemeiner Leumund und seine bis- herige Führung als Motorfahrzeuglenker nicht zu beanstanden sind. Ander- seits darf bei der Beurteilung der Bewãhrungsaussichten nicht aus general- prãventiven Überlegungen ein derart strenger Massstab angelegt werden, dass angetrunkenen Fahrzeuglenkern der bedingte Strafvollzug praktisch zum vornherein versagt bliebe. Unzulãssig ist es aber auch, unter den für die Frage des bedingten Strafvollzugs z u berücksichtigenden U mstãnden einzel- nen eine vorrangige Bedeutung beizumessen und andere zu vernachlãssigen oder überhaupt ausseracht zu lassen. Vielmehr müssen auch beim Tatbe- stand der Angetrunkenheit am Steuer Vorleben und Leumund sowie alle weitern Tatsachen, di e gültige Schlüsse auf d en Charakter des Tãters un d di e Aussichten seiner Bewãhrung zulassen, in die Beurteilung miteinbezogen werden, um aufGrund einer Gesamtwürdigung darüber zu entscheiden, ob der V erurteilte für dauerndes W ohlverhalten Gewãhr biete oder nicht (BG E 98 IV 159; MKGE vom 2.6.72 i.S. J. und 9 Nr. 23). 3.- ... (22. November 1973, i.S. H. e. DG 7) 28. Sursis à l"exécution de la peine ( art. 32, eh. l er CPM). Criteres d' un pro- nostic d'amendement favorable; importance de la conduite militaire. Bedingter Strafvollzug (Art. 32 Ziff. l MStG). Anforderungen an die Gewahr künftigen Wohlverhaltens; Bedeutung der militãrischen Führung. Sospensione condizionale della pena (art. 32 n. l CPM). Esigenze per poter ammettere una prognosi favorevole; importanza della condotta militare. Extrait des motifs: 2.- ... Aux conditions subjectives posées par l'article 41 du CPS, l'article 32 du CPM a ajouté celles qui se rapportent à la conduite militaire de l'intéressé: Le pronostic favorable exigé par cette derniere disposition légale doit se fon- der à la fois sur les antécédents, le caractere et la conduite militaire du con- damné, pris cumulativement. Aussi, le Tribunal militaire de cassation a-t-il admis que de mauvais renseignements militaires peuvent à eux seuls suffire pour justifier un pronostic défavorable (ATMC 7 no 12; 7 no 35; ATMC du 24.4. 73 en la cause R. e t les arrêts cités ). Enfin, selon une jurisprudence constante, le juge j o uit, dans l'examen de ces conditions subjectives, d'un large pouvoir d'appréciation que le Tribunal</w:t>
      </w:r>
    </w:p>
    <w:p>
      <w:r>
        <w:t>Nr. 28, 29 48 de cassation ne peut revoir que so us l'angle de l'arbitraire ( cf. notamment ATMC 7 no 56; ATMC du 24.4.73 en la cause R.). Le Tribunal de division lOA a retenu que les antécédents, la conduite militaire et le caractere de K. ne permettaient pas de formuler un pronostic favorable. A l'égard d'un homme dont le comportement général au service militaire a toujours été négatif et qui a été puni disciplinairement, en 1971, pour dommage à la propriété et ivresse, puis, en 1973, pour être entré en service avec une coupe de cheveux non rég1ementaire et pour refus d'ordres, ce pronostic défavorable n' est p as arbitraire. 3.-11 résulte de ce qui précede que le recours de K. doit être rejeté et que le jugement entrepris doit être maintenu. 4.- ... (Emolument de justice) (22 novembre 1973, K. e. TD lOA) 29. Bedingter Strafvollzug (Art. 32 Ziff. l MStG): Anforderungen an die Gewahr künftigen Wohlverhaltens; erforderlieh ist eine innere Wandlung, die dauernde Besserung verheisst und das ganze Verhalten des Tãters im Reehtsleben besehlagt. Sursis (art. 32, eh. 1er CPM): eriteres d'un pronostie d'amendement favo- rable; il faut que l'auteur ai t opéré un retour sur lui-même permettant d'augu- rer son redressement durable et fortifiant sa volonté de rester dans la légalité en toute eireonstanee. Sospensione eondizionale de lia pena ( art. 32 n. l CPM): esigenze per poter ammettere una prognosi favorevole; e neeessario eh e ei sia stato un eam- biamento interno, dai quale si possa ripromettersi un miglioramento durevole del modo di eomportarsi del reo in tutte le eireostanze. Aus den Erwagungen: 3.- ... Die Gewahrung oder Verweigerung der Rechtswohltat des bedingten Strafvollzugs ist eine Ermessensfrage, vom MiliUirkassationsgericht somit n ur aufWillkür hin überprüfbar (Haefiiger, Kommentar zu Art. 188 MStGO N. 6). Zwar wird der Beschwerdeführer nach seiner Ausschliessung aus dem Heere nicht mehr in die Lage kommen, eine Militardienstleistung zu verwei- gern. Das ist indessen hier nicht wesentlich, weil die nach standiger Praxis gemass Art. 32 MStG notige Prognose in bezug auf das ganze Verhalten des Taters im Rechtsleben günstig auszufallen hat. Es muss diesbezüglich eine innere Wandlung, eine dauernde Besserung zu erwarten sein (MKGE 7 N r. 12; MKGE 8 Nr. 53; MKGE 9 Nr. 17, Erw. 2). Wenn das Divisionsgericht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