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MKGE 9 Nr. 153</w:t>
      </w:r>
    </w:p>
    <w:p>
      <w:r>
        <w:t>Mkg, DE</w:t>
      </w:r>
    </w:p>
    <w:p>
      <w:r>
        <w:rPr>
          <w:b/>
        </w:rPr>
        <w:t xml:space="preserve">Quelle: </w:t>
      </w:r>
      <w:r>
        <w:t>https://mcp.opencaselaw.ch/entscheid/mkg_MKGE_9_Nr_153</w:t>
      </w:r>
    </w:p>
    <w:p>
      <w:r>
        <w:t>FR: ATMC 9 n° 153</w:t>
      </w:r>
    </w:p>
    <w:p>
      <w:r>
        <w:t>IT: STMC 9 n. 153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L'article 32 CPM subordonne l'octroi du sursis à des conditions objectives, qui sont réalisées en l'espece, et à une condition subjective: il faut que les antécédents, le caractere et- le cas échéant -la conduite au service militaire de l'accusé fassent admettre que cette mesure de clémence le détour- nera de commettre de nouveaux crimes ou délits. Le pronostic d'amende- ment doit s' étendre à to u t l' ordre juridiq ue protégé p ar des dispositions péna- les (ATMC 9 no 86). Le sursis suppose que le condamné ait opéré un retour sur lui-même; il ne suffit pas qu'une circonstance étrangere à sa volonté l'empêche de commettre une récidive spéciale (A TMC 9 no 29: et 9 no 77, p ar exemple ). Des troubles psychiques ou caractériels qui rendent probable une récidive générale ou spéciale son t un motif de refus du sursis, même s'ils entrainent d'ailleurs une atténuation de la peine (ATF 69 IV 193 et 73 IV l, cons. l p. 4). Enfin, le tribunal de division j o uit, lorsqu'il porte un pronostic sur l'effet du sursis, d'une large liberté d'appréciation: le Tribunal militaire de cassation ne peut intervenir qu'en cas d'arbitraire. En l'occurrence, loin d'être entaché d'arbitraire, le jugement attaqué est conforme aux principes légaux et jurisprudentiels rappelés ci-dessus. En effet, parce que le recourant ne comprend pas que sa conduite était répréhen- sible, il ne peut bénéficier du sursis, quelles que soient les causes de son obsti- nation. Car l'article 32 CPM tend à l'amendement du coupable; si ce dernier est incapable de venir à résipiscence, il n'y a aucune raison de renoncer à lui faire su bir sa peine. En revanche, l' arti ele 11 CPM te n d à mesurer cette p e ine selon le degré de responsabilité de l'auteur de l'infraction; ces deux disposi- tions légales partent d'un point de vue différent.</w:t>
      </w:r>
    </w:p>
    <w:p>
      <w:r>
        <w:rPr>
          <w:b/>
        </w:rPr>
        <w:t>E. 3</w:t>
      </w:r>
    </w:p>
    <w:p>
      <w:r>
        <w:t>... (ler déeembre 1978, B. e. TD l)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