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MKGE 9 Nr. 132</w:t>
      </w:r>
    </w:p>
    <w:p>
      <w:r>
        <w:t>Mkg, 1977-10-21, FR</w:t>
      </w:r>
    </w:p>
    <w:p>
      <w:r>
        <w:rPr>
          <w:b/>
        </w:rPr>
        <w:t xml:space="preserve">Quelle: </w:t>
      </w:r>
      <w:r>
        <w:t>https://mcp.opencaselaw.ch/entscheid/mkg_MKGE_9_Nr_132</w:t>
      </w:r>
    </w:p>
    <w:p>
      <w:r>
        <w:t>FR: ATMC 9 n° 132</w:t>
      </w:r>
    </w:p>
    <w:p>
      <w:r>
        <w:t>IT: STMC 9 n. 132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Aux termes de l'article 98, chiffre l, 2e al. CPM, est passible de l'em- prisonnement celui qui incite une personne astreinte au service militaire à la désobéissance à un ordre militaire, à une violation des devoirs du service, au refus de servir ou à la désertion. L'infraction réprimée par l'article 98 CPM est, comme celle de l'article 276 CPS, un délit sui generis et non pas un acte de participation (Straten- werth, Strafrecht, partie spéciale , p. 564; Logoz, rem. 3 e ad art. 276 CPS). Ainsi, c'est à tort que le recourant parle d'instigation en soutenant, d'ail- leurs en contradiction avec l' état de fai t retenu p ar le tribunal de division, que les trois intimés ont incité G. à voler des grenades pour les faire exploser.</w:t>
      </w:r>
    </w:p>
    <w:p>
      <w:r>
        <w:rPr>
          <w:b/>
        </w:rPr>
        <w:t>E. 3</w:t>
      </w:r>
    </w:p>
    <w:p>
      <w:r>
        <w:t>Pour que le délit réprimé par l'article 98 CPM soi t consommé, il n'est pas nécessaire que les intéressés aient effectivement commis l'infraction de désobéissance, de violation des devoirs du service, de refus de servir ou de désertion à laquelle o n a v o ulu les ineiter. La possibilité d'un te l résultat suffit. S'agissant d'un délit de mise en danger, il est par ailleurs suffisant que l'inten- tion de l'auteur porte sur la possibilité que ee danger se réalise. En d'autres termes, il suffit que l'auteur ait eu eonscienee que ses déelarations étaient propres à pousser ses auditeurs à la désobéissance, à la violation des devoirs du serviee ou à la désertion' (Logoz, rem. 2 e ad art.- 259 CPS; Comtesse, re m. 2 ad art. 98 CPM; ATF 97 IV 104; ATMC du 22.11. 73 en la eause C. et eon- sorts, eons. 5).</w:t>
      </w:r>
    </w:p>
    <w:p>
      <w:r>
        <w:rPr>
          <w:b/>
        </w:rPr>
        <w:t>E. 4</w:t>
      </w:r>
    </w:p>
    <w:p>
      <w:r>
        <w:t>a) Inciter signifie &lt;&lt;entrainer, pousser quelqu'un à faire quelque ehose&gt;&gt; (ef. Petit Robert, éd. 1970). Logoz parle de &lt;&lt;déterminer une per- sonne ... à eommettre une ou des infraetions ... &gt;&gt; (rem. 3 ad art. 276 CPS). Stratenwerth parle de &lt;&lt;persõnliche Einwirkung auf d en Einzelnen zur Bege- hung eines ... Delikts&gt;&gt; (partie spée. li, p. 564). Pour Hafter &lt;&lt;Verleitung ist Bestimmung eines andern zu dem von ihm verübten Delikte&gt;&gt; (partie spée., p. 686, no 2). Ce dernier auteur préeise que l'ineitation ne se distingue guere de l'instigation, mais que le législateur a ehoisi deux termes différents parce que le mot &lt;&lt;instigation&gt;&gt; est un terme teehnique préeis (Hafter, parti spéc., p. 27, eh. 3).</w:t>
      </w:r>
    </w:p>
    <w:p>
      <w:r>
        <w:t>235 Nr. 132, 133 L'incitation et l'instigation ont ceci de commun que l'auteur doit avoir exercé une influence directe sur autrui. Or, ni le fai t de discuter avec G. de faire sauter des grenades, ni le fai t d'assister en spectateur à l'explosion ne permettent de retenir que les intimés, pris isolément ou en groupe, ai en t déterminé G. à tirer des grenades. De simples conversations entre copains ne peuvent pas être qualifiées d'actes d'incitation, ce d'autant moins que G. n'ajamais affirmé avoir été poussé par ses camarades à faire exploser des grenades. b) 11 convient d'ajouter que le délit de l'article 98 CPM est un délit inten- tionnel (Logoz, rem. 36 ad art. 276 CPS), alors que l'instruction n'a fourni aucun élément qui permette de retenir qu'un des intimés ai t voulu, consciem- ment, inciter G. à violer ses devoirs militaires.</w:t>
      </w:r>
    </w:p>
    <w:p>
      <w:r>
        <w:rPr>
          <w:b/>
        </w:rPr>
        <w:t>E. 5</w:t>
      </w:r>
    </w:p>
    <w:p>
      <w:r>
        <w:t>... (21 octobre 1977, Auditeur e. F, G, M. et TD lOA) 133. Urkundenfálschung (Art. 172 Ziff. l MStG): Begriff der Urkundenfálschung im eigentlichen Sinne und der Falschbeur- kundung. Urkundenfálschung im eigentlichen Sinne ; Voraussetzung des Urkun- dencharakters einer bestimmten Schrift. Merkmale des Urkundencharakters: Beweiseignung als Erfordernis, im Zusammenwirken mit andern Mit- teln eine Tatsache zu beweisen; Beweisbestimmung als Wille des Ausstellers, dem Schriftstück den Charakter eines Beweismittels zu verleihen. Faux dans les titres (art. 172, eh. 1er CPM): Notions de falsification et de constatation fausse. Falsification: L'écrit falsifié doit avoir le caractere d'un titre. Caractéristiques d'un titre: l'écrit est propre à prouver un fait s'il s'y prête en corrélation avec d'autres moyens; il y est destiné, lorsque le faussaire a voulu lui conférer le caractere d'une preuve. Falsità in documenti ( art. 172 n. l CPM): Concetto di falsificazione e di falsa attestazione. Falsità in documenti in senso proprio; presupposti per qualificare come documento un determinato atto: Caratteri del documento: un atto deve essere idoneo, in relazione con altri mezzi, a provare un fatto;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