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MKGE 9 Nr. 13</w:t>
      </w:r>
    </w:p>
    <w:p>
      <w:r>
        <w:t>Mkg, 1973-06-15, FR</w:t>
      </w:r>
    </w:p>
    <w:p>
      <w:r>
        <w:rPr>
          <w:b/>
        </w:rPr>
        <w:t xml:space="preserve">Quelle: </w:t>
      </w:r>
      <w:r>
        <w:t>https://mcp.opencaselaw.ch/entscheid/mkg_MKGE_9_Nr_13</w:t>
      </w:r>
    </w:p>
    <w:p>
      <w:r>
        <w:t>FR: ATMC 9 n° 13</w:t>
      </w:r>
    </w:p>
    <w:p>
      <w:r>
        <w:t>IT: STMC 9 n. 13</w:t>
      </w:r>
    </w:p>
    <w:p>
      <w:pPr>
        <w:pStyle w:val="Heading2"/>
      </w:pPr>
      <w:r>
        <w:t>Erwägungen</w:t>
      </w:r>
    </w:p>
    <w:p>
      <w:r>
        <w:rPr>
          <w:b/>
        </w:rPr>
        <w:t>E. 4</w:t>
      </w:r>
    </w:p>
    <w:p>
      <w:r>
        <w:t>Le recourant adtnet avoir déposé ses effets militaires sur le parvis du Palais fédéral, mais reproche au tribunal de division de n'avoir pas vu dans cet acte un cas de peu de gravité et, partant, de n'avoir pas, en application de l'article 73, chiffre 2 du CPM, prononcé une sanction disciplinaire. Les éléments de l'infraction de l'article 73, chiffre l du CPM sont donnés en l'espece. En effet, en déposant des objets de son équipement devant le Palais fédéral eten laissant des femmes déchirer son livret de service, Sp. a utilisé abusivement un rnatériel rnilitaire qui, de toute évidence, n'est pas destiné à être exhibé et entassé au cours d'une rnanife-station politique. Outre cet abus, il y a égalernent abandon du rnatériel militaire, car c'est à la suite de circonstances étrangeres à la volonté du recourant que ses effets ont été pris en charge par des fonctionnaires qui n'étaient pas tenus de le faire et qui n'avaient pas qualité pour les recevoir régulierernent en dépôt.</w:t>
      </w:r>
    </w:p>
    <w:p>
      <w:r>
        <w:t>25 Nr. 15, 16 Ricorso per cassazione (art. 189 cpv. 2 OGPPM). Annuncio del ricorso; termine. Extrait des motifs. l.- Selon l'article 189, 2e al. de l'OJPPM, &lt;&lt;le recours doit être annoncé, dans les vingt-quatre heures de la lecture dujugement, au greffier qui en avise le grand juge&gt;&gt;. Haefliger ( &lt;&lt;Kommentar zur Militãrstrafgerichtsordnung&gt;&gt;, Berne 1959) releve à ce sujet (p. 238) que le délai expire le lendemain de la communication du jugement, à l'heure du prononcé, rnême si ce j o ur est un diman eh e ou un jour férié. La deuxieme phrase de l'article 189, 4e al. de l'OJPPM ne s'ap- plique pas au délai de 24 heures. Il est vrai que ce délai est court, mais la loi n'exige aucune forrne pour la déclaration de volonté de celui q ui veu t recourir. Le recours peut être déclaré verbalement à la séance ou même par téléphone ou télégramme. 2.- ... (15 juin 1973, Ch. e. TD 2) 16. Kassationsbeschwerde (Art. 189 Abs. 3 MStGO); Frist zur Begründung: VerHingerung einer Frist bis auf Maximalfrist von 10 Tagen; massgebend ist das Datum, an dem das Erstreckungsgesuch gestellt wor- den ist. Recours en cassation (art. 189, 3e al. OJPPM); délai pour motiver le recours: prolongation d'un délai jusqu'au terme maximal de dix jours; la da te déterminante est celle à laquelle la demande de prolongation a été fai te. Ricorso per cassazione (art. 189 cpv. 3 OGPPM); termine per la redazione definitiva del ricorso: proroga del termine fino a quello massimo di 10 giorni; determinante e il momento nel quale viene proposta la domanda di pro- roga. Aus den Erwãgungen: l.- Der Grossrichter setzte dem Auditor arn 29. Marz eine Frist von 8 Tagen, urn die Kassationsbeschwerde zu begründen. Gernass dem Laufzettel d er Post wurde die eingeschriebene Sendung am 30. Marz in Luzern aufgege- ben und dem Auditor am 2. April in Zürich zugestellt. Die Frist endigte demnach arn 10. April (MKGE 6 Nr. 8 E l; 7 Nr. 57 E l). An diesem Tag ersuchte der Auditor den Grossrichter, die Frist urn 2 Tage zu verlangern.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