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MKGE 9 Nr. 117</w:t>
      </w:r>
    </w:p>
    <w:p>
      <w:r>
        <w:t>Mkg, 1977-02-03, FR</w:t>
      </w:r>
    </w:p>
    <w:p>
      <w:r>
        <w:rPr>
          <w:b/>
        </w:rPr>
        <w:t xml:space="preserve">Quelle: </w:t>
      </w:r>
      <w:r>
        <w:t>https://mcp.opencaselaw.ch/entscheid/mkg_MKGE_9_Nr_117</w:t>
      </w:r>
    </w:p>
    <w:p>
      <w:r>
        <w:t>FR: ATMC 9 n° 117</w:t>
      </w:r>
    </w:p>
    <w:p>
      <w:r>
        <w:t>IT: STMC 9 n. 117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D'une façon générale, tout conducteur doit pouvoir compter que les autres se conformeront aux regles de la circulation ( art. 26 LCR; A TF 98 IV 279; 97 IV 244; de Werra, &lt;&lt;Du principe de la confiance dans le droit de la circulation routiere, selon la jurisprudence du Tribunal fédéral&gt;&gt;, Revue valaisanne de jurisprudence, 1970, 2, p. 216; Bussy e t Rusconi, CSCR annoté, N. 4.1 ad art. 26 LCR). Ce &lt;&lt;principe de confiance&gt;&gt; ne peut cependant être invoqué lorsque, comme le di t l'article 26, 2e al. de la LCR, il apparaít qu'un usager de la route va se comporter de maniere incorrecte; c'est le cas notamment lorsque, mani- festement, un conducteur va entreprendre une man~vre interdite ou, lors- qu'en raison des circonstances du trafic ou de l'attitude insolite d'un autre usager, il faut s'attendre à une telle éventualité (ATF 97 IV 244; 98 IV 273). Se prévalant du principe de confiance, le défenseur affirme que la colli- sion est d ue à la faute exclusive de D., faute à laquelle W., eu égard aux cir- constances, ne pouvait s'attendre. Le tribunal de division estime au contraire que la vitesse particulierement lente des véhicules de D. et de B. aurait du alerter l'accusé et l'inciter à une plus grande prudence. W. a entrepris son dépassement sur un tronçon rectiligne à bonne visi- bilité alors qu'aucun véhicule ne venait en sens inverse. Le tribunal de divi- sion admet en outre que l'accusé n'a vraisemblablement pas pu apercevoir assez tôt les clignoteurs de rautomobile de D. qui lui était masquée, du moins partiellement, p ar celle de B. On ne peut don e retenir à la charge du recourant aucune violation de l'article 35 LCR. Quant à D., il a obliqué à gauche pour s'engager sur un chemin vicinal débouchant à angle droit sur la route principale. Selon l'article 34, 3e al. de la LCR, le conducteur qui entreprend une telle man~uvre doit avoir égard aux usagers de la route qui viennent en sens inverse ainsi qu'aux véhicules qui le suivent. Celui qui oblique à gauche pour quitter le trafic fluide d'une artere principale et s'engage dans une voie latérale doit observer une pru- dence toute particuliere. En l'occurrence, D. devait prêter attention non seu- lement au véhicule de B. qui le suivait immédiatement, mais aussi à celui de W. qui avait entrepris une man~uvre de dépassement (ATF 91 IV 205). 11 devait même envisager l'éventualité- qui s'est réalisée en l'espece- ou l'un des véhicules le suivant ne verrait pas à temps ses clignoteurs (A TF 97 IV 220; 91 IV 10, 20, 205; 93 11 495; 100 IV 186).</w:t>
      </w:r>
    </w:p>
    <w:p>
      <w:r>
        <w:t>Nr.ll7,118 204 Reste à examiner si l'accusé aurait du s'apercevoir du comportement incorrect de D. ou si, eu égard aux circonstances, il aurait au moins du s'y attendre. 11 est admis que W. n' a vraisemblablement pas pu voir à temps que D. avait actionné ses indicateurs. Parce que les véhicules qui le précédaient roulaient lentement, W. devait-il cependant, comme l'estiment les premiers juges, s'attendre à la manreuvre fautive de D? C'est là une question de droit à laquelle il faut répondre par la négative. Une allure réduite n'est en effet pas, en soi, le signe prémonitoire d'une faute de conduite. Admettre le con- traire constituerait un e entrave inadrnissible à la fluidité du trafic (A TF l O l IV 81).</w:t>
      </w:r>
    </w:p>
    <w:p>
      <w:r>
        <w:rPr>
          <w:b/>
        </w:rPr>
        <w:t>E. 3</w:t>
      </w:r>
    </w:p>
    <w:p>
      <w:r>
        <w:t>Die Frage, ob U em HD B. von vornherein lãnger als sechs Monate in Südafrika b lei ben wollte, kann offenbleiben. Für die Zeit nach Ablauf di e- ser Frist benõtigte er jedenfalls Auslandurlaub. Einen solchen hat er unbe-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