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102</w:t>
      </w:r>
    </w:p>
    <w:p>
      <w:r>
        <w:t>Mkg, 1976-09-30, FR</w:t>
      </w:r>
    </w:p>
    <w:p>
      <w:r>
        <w:rPr>
          <w:b/>
        </w:rPr>
        <w:t xml:space="preserve">Quelle: </w:t>
      </w:r>
      <w:r>
        <w:t>https://mcp.opencaselaw.ch/entscheid/mkg_MKGE_9_Nr_102</w:t>
      </w:r>
    </w:p>
    <w:p>
      <w:r>
        <w:t>FR: ATMC 9 n° 102</w:t>
      </w:r>
    </w:p>
    <w:p>
      <w:r>
        <w:t>IT: STMC 9 n. 102</w:t>
      </w:r>
    </w:p>
    <w:p>
      <w:pPr>
        <w:pStyle w:val="Heading2"/>
      </w:pPr>
      <w:r>
        <w:t>Erwägungen</w:t>
      </w:r>
    </w:p>
    <w:p>
      <w:r>
        <w:rPr>
          <w:b/>
        </w:rPr>
        <w:t>E. 2</w:t>
      </w:r>
    </w:p>
    <w:p>
      <w:r>
        <w:t>MStG. Dolo eventuale (art. 15 CPM): Concetto; definizione con riferimento a DTF 86 IV 17; Portata in caso di omissione intenzionale del servizio; Presupposti per l'omissione intenzionale del servizio secondo l'art. 81 n. l cpv. 2 CPM. Extrait des motifs:</w:t>
      </w:r>
    </w:p>
    <w:p>
      <w:r>
        <w:rPr>
          <w:b/>
        </w:rPr>
        <w:t>E. 3</w:t>
      </w:r>
    </w:p>
    <w:p>
      <w:r>
        <w:t>Dans un deuxieme moyen, le recourant estirne que les prerniersjuges ont violé laloi en le condarnnant pour insournission intentionnelle alors qu'il aurait agi par négligence. Ce moyen doit être adn1is. Le tribunal de division déclare que N. a agi, en ne consultant p as les affi- ches de mise sur pied eten ne prenant pas toutes mesures utiles pour accom- plir son cours de répétition, &lt;&lt;pour le moins par dol éventuet en comptant sérieusement que le résultat délictueux de son omission pourrait se produire eten y consentant pour le cas ou il se produirait&gt;&gt;. Le dol éventuel suppose que l'auteur a envisagé le résultat délictuel comme possible, d'une part, et qu'il a accepté, voire approuvé, cette éven-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