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60</w:t>
      </w:r>
    </w:p>
    <w:p>
      <w:r>
        <w:t>Mkg, DE</w:t>
      </w:r>
    </w:p>
    <w:p>
      <w:r>
        <w:rPr>
          <w:b/>
        </w:rPr>
        <w:t xml:space="preserve">Quelle: </w:t>
      </w:r>
      <w:r>
        <w:t>https://mcp.opencaselaw.ch/entscheid/mkg_MKGE_8_Nr_60</w:t>
      </w:r>
    </w:p>
    <w:p>
      <w:r>
        <w:t>FR: ATMC 8 n° 60</w:t>
      </w:r>
    </w:p>
    <w:p>
      <w:r>
        <w:t>IT: STMC 8 n. 60</w:t>
      </w:r>
    </w:p>
    <w:p>
      <w:pPr>
        <w:pStyle w:val="Heading2"/>
      </w:pPr>
      <w:r>
        <w:t>Erwägungen</w:t>
      </w:r>
    </w:p>
    <w:p>
      <w:r>
        <w:rPr>
          <w:b/>
        </w:rPr>
        <w:t>E. 2</w:t>
      </w:r>
    </w:p>
    <w:p>
      <w:r>
        <w:t>a) ... b) ... 155 Nr. 60, 61 Das Militãrkassationsgericht hat nur zu prüfen, ob das Divisionsge- richt das Gesetz verletzte, indem es Kpl K. von der Anklage der Trunken- heit freisprach. Das Divisionsgericht hezeichnete es als fraglich, ob die Trunkenheit für die anwesenden Zivilpersonen überhaupt feststellbar war. Diese tatsãchliche Feststellung ist haltbar, da der Grad der Ange- trunkenheit mit 1,1 Promille zwar derart war., dass ein sicheres Führen eines Motorfahrzeuges keineswegs mehr gewãhrleistet war., aber doch nicht derart., dass die Angetrunkenheit für Dritte ohne weiteres erkenn- bar w ar. W ar es unbewiesen., o b di e Zivilpersonen di e Alkoholisierung fest- stellen konnten., so hatte das Gericht im Zweifel davon auszugehen., sie hãtten von der Angetrunkenheit nichts bemerkt. Dann drãngte sich aber der Schluss auf., die Zivilpersonen hãtten sich nicht wegen der Trunken- heit aufgehalten., sondern weil der Angeklagte unbefugt den Privatwagen zu einer Rundfahrt benutzt hatte. In der Rechtslehre (Comtesse., N. 8 zu Art. 80 MStG) wird Art. 80 Ziff. l MStG nur als anwendbar erachtet., wenn durch die Trunkenheit als solche Argernis erregt wird; das· scheint auch der Rechtsprechung des Militãrkassationsgerichts zu entsprechen (MKGE 4. Nr. 14, wo von der Wirkung der Trunkenheit die Rede ist). Diese Auslegung ist auf jeden Fall dann richtig., wenn die Alkoholisierung für Dritte nicht feststellbar ist; im konkreten Fall hãtte .?er Angeklagte wegen der Entwendung des Privatwagens das gleiche Argernis erregt., wenn er nicht alkoholisiert gewesen wãre. Eine einschrãnkende Auslegung des Art. 80 Ziff. l MStG ist am Platz; denn der Tãter soll ni eh t deshalb be- straft werden, weil er Alkohol zu sich genommen hat, sondern weil es de1n Ansehen der Armee schadet., wenn die Alkoholisierung von Dritten fest- gestellt werden kann und sie sich in einem anstõssigen V erhalten ãussert. Es wird denn auch in der neueren Rechtslehre in ãhnlichem Sinn die An- sicht vertreten., wenn der Zustand der Trunkenheit sich allein in einer andern Straftat manifestiert., sei der Tãter nur wegen dieser Tat., nicht auch noch wegen Trunkenheit zu bestrafen (Steinemann., V erkehrsdelikt und Militãrstrafrecht., Diss. Bern 1968., S. 69; Schultz., Die Strafbestim- mungen des SVG., S. 198). Der Freispruch begegnet deshalb keinen Be- denken und die Kassationsbeschwerde erweist sich in diesem Punkt als nicht stichhaltig. (LI, Marz 1971, l(. e. DG 9 A) 61. Art. 189 Ahs. 3 MStGO: Kassationsbeschwerde; Anfot·derungen an die Begründung der Beschwerdeantrãge.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