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8 Nr. 23</w:t>
      </w:r>
    </w:p>
    <w:p>
      <w:r>
        <w:t>Mkg, 1967-12-04, DE</w:t>
      </w:r>
    </w:p>
    <w:p>
      <w:r>
        <w:rPr>
          <w:b/>
        </w:rPr>
        <w:t xml:space="preserve">Quelle: </w:t>
      </w:r>
      <w:r>
        <w:t>https://mcp.opencaselaw.ch/entscheid/mkg_MKGE_8_Nr_23</w:t>
      </w:r>
    </w:p>
    <w:p>
      <w:r>
        <w:t>FR: ATMC 8 n° 23</w:t>
      </w:r>
    </w:p>
    <w:p>
      <w:r>
        <w:t>IT: STMC 8 n. 23</w:t>
      </w:r>
    </w:p>
    <w:p>
      <w:pPr>
        <w:pStyle w:val="Heading2"/>
      </w:pPr>
      <w:r>
        <w:t>Volltext</w:t>
      </w:r>
    </w:p>
    <w:p>
      <w:r>
        <w:t>Nr. 23 48 accessible à un organisme étranger un secret de fabrication, à Ini révélé, d"une entreprise suisse de recherches eii matiere d"armement est punissable aussi bien en vertu de l'art. 162 CPS -si plainte a été portée - qu"en vertu de l"art. 273 CPS ( concours idéal). Violazione del segreto di fahbrica o commerciale (art. 162 CP) e spio- naggio commerciale ( art. 273 CP); concorso ideale ( art .. 49 cif. l CPM). - Chi, ricevendo una rimunerazione., t~ende accessibile a un'organizzazione straniera un segreto di fabbricazione a Ini rivelato per mezzo di un reato riguardante una ditta svizzera per ricerche concernenti materiale bellico e punibile, quando e stata formulata una denuncia, sia in base all'art. 162 sia in base all'art. 273 CP ( concorso ideale ). Aus den Erwãgungen: l. - Der Beschwerdeführer begründet seinen Antrag auf Freispre .. chung von der Anklage der V erletzung des Fabrikations .. oder Geschãfts .. geheimnisses (Art. 162 StGB) damit, dass der Tatbestand des wirtschaft .. lichen Nachrichtendienstes (Art. 273 StGB) alle Tatbestandsmerkmale des Art. 162 StGB in sich schliesse und daher nur Art. 273 StGB als um .. fassendere Bestimmung anzuwenden sei. Diese Auffassung trifft nicht zu. Der Beschwerdeführer übersieht, dass die beiden Bestimmungen verschiedene Rechtsgüter schützen. Art. 162 StGB steht im Titel &gt;. Geschütztes Rechtsgut sind demnach private Interessen des Einzelnen. Art. 273 StGB ist indessen eine Vorschrift aus dem Titel &gt;. Schutzobjekt sind hier nicht private lnteressen um ihrer selbst willen, sondern das lnteresse des Staates daran, dass die unter seiner Territorialhoheit ste .. henden Personen gegenüber wirtschaftlicher Spionage anderer Staaten oder auslãndischer Unternehmungen geschützt sind (BGE 71 IV 218, 85 IV 141). :Folgerichtig ist Art. 162 StGB als Antrags .. , Art. 273 StGB als Offizialdelikt ausgestaltet. - Die V erurteilung des Beschwerdeführers gestützt auf Art. 273 StG B hat die V erletzung von Staatsschutzinteressen gesühnt. Die V erletzúng privater vermõgensrechtlicher Geheimhaltungs .. interessen ist nur aufgrund des eingereichten Strafantrages und gestützt auf Art. 162 StGB gesühnt worden. Der Tatbestand des Art. 162 StGB wird durch jenen des Art. 273 StGB nicht konsumiert. Der Beschwerde .. führer ist daher zu Recht auch der V erletzung des Fabrikations .. oder Ge .. schãftsgeheimnisses im Sinne von Art. 162 StGB schuldig erklãrt worden. Die Kassationsbeschwerde erweist sich somit in diesem Punkte als unbe .. gründet. 2. - ... (4. Dezember 1967, Oe. e. DG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