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50</w:t>
      </w:r>
    </w:p>
    <w:p>
      <w:r>
        <w:t>Mkg, 1963-02-28, DE</w:t>
      </w:r>
    </w:p>
    <w:p>
      <w:r>
        <w:rPr>
          <w:b/>
        </w:rPr>
        <w:t xml:space="preserve">Quelle: </w:t>
      </w:r>
      <w:r>
        <w:t>https://mcp.opencaselaw.ch/entscheid/mkg_MKGE_7_Nr_50</w:t>
      </w:r>
    </w:p>
    <w:p>
      <w:r>
        <w:t>FR: ATMC 7 n° 50</w:t>
      </w:r>
    </w:p>
    <w:p>
      <w:r>
        <w:t>IT: STMC 7 n. 50</w:t>
      </w:r>
    </w:p>
    <w:p>
      <w:pPr>
        <w:pStyle w:val="Heading2"/>
      </w:pPr>
      <w:r>
        <w:t>Erwägungen</w:t>
      </w:r>
    </w:p>
    <w:p>
      <w:r>
        <w:rPr>
          <w:b/>
        </w:rPr>
        <w:t>E. 2</w:t>
      </w:r>
    </w:p>
    <w:p>
      <w:r>
        <w:t>e f bb) W as die Frage des fahrlassigen Fahrens anbelangt, so trifft zunachst zu, dass die Beurteilung der Fahrweise eines Motorfahr- zeugführers nicht vom Nachweis der Verletzung konkreter Vorschriften des MFG abhangt und dass es somit keine Rolle spielt, ob der vorliegende Fali nach dem zur Zeit des Unfalls geltenden MFG zu beurteilen ist oder nicl1t. - Art. l Abs. l MFG begrenzt den sachlichen Geltungsbereich des Gesetzes auf den õffentlichen Verkehr- denn ein Fahrzeugführer kann au eh f ahrlassig handeln, ohne ausdriickliche V erkehrsvorschriften zu übertreten, in d em es genügt, dass eine allgemeine Sorgf altspflicht ver- letzt wird (BGE 78 IV 73). Die Vorschrift von Art. 25 MFG, wonach je .. der Fahrzeugführer seine Geschwindigkeit den gegebenen Strassen- und V erkehrsverhaltnissen anzupassen hat, ist als Regel des pflichtgemassen Handelns auch dem Fahrlassigkeitsbegriff des allgemeinen Strafrechts zugrunde zu legen. Daher ist auch im vorliegenden Falle zu prüfen, ob clie Fahrweise des Angeklagten den Platzverhaltnissen angemessen war, insbesondere auch, ob die Geschwindigkeit den Sichtverhaltnissen ange- passt war (BGE 79 IV 66; 84 IV 106). Di e l(assationsbeschwerde sieht das pflichtwidrige unvorsichtige V er- halten des Angeklagten darin, dass er sich zwischen parkierten W agen</w:t>
      </w:r>
    </w:p>
    <w:p>
      <w:r>
        <w:t>Nr. 50 96 und Personengruppen durchfahrend nicht im Schritt-Tem}JO «durchge- tastet» hat. Er habe jederzeit mit von links oder rechts auftauchenden Gefahren (W agen oder Personen) rechnen müssen, weshalb die Geschwin- digkeit von 20-25 km l Std. als übersetzt zu bezeichnen sei. Diese Beurteilung übersieht zweierlei: Erstens geht sie an cler ver- bincllichen Tatbestanclsfeststellung der Vorinstanz vorbei, die nicht eine Geschwincligkeit von 20-25 km / Stcl. annimmt, sonclern unter Verzicht auf eine zahlenmassige Angabe erklart, cler Angeklagte sei langsam zum Ausgang gef al1ren, es sei an seiner Fahrweise nichts auszusetzen gewesen. Das l(assationsgericht kann sich nicht iiber cliese verbincllichen Feststel- lungen hinwegsetzen uncl, von einer Gesch,vincligkei t von 20-25 km / Std. ausgehend, diese als übersetzt erklaren. W er langsam fahrt und so, dass an seiner Fahrweise nichts auszusetzen ist, verletzt die Sorgfaltspflicht nicht, wenn nicht konkret nachgewiesen ist, dass er unter den gegebenen Umstanden noch langsamer hatte fahren sollen. Dieser Nachweis ist nicht erbracht. Dazu kommt clie weitere verbinclliche Feststellung, dass der Angeklagte im gleichen Moment, als er clen Tankzug erblickte, die Brenl- sen betãtigt, also sehr rasch reagiert hat, was auf grosste Aufmerksamkeit schliessen lasst. Zweitens übersieht clie l(assationsbeschwercle, class die },rage der Fahrlassigkeit konkret zu beantworten ist. Diesbeziiglich ergibt sich, dass der Angeklagte nicht annehmen musste, sein Fahrweg wercle von einer offentlich befahrenen Strasse gekreuzt, worauf bereits hingewiesen wor- den ist. Musste er clies nicht annehmen, sonclern durfte er clavon aus- gehen, er befinde sich auf einem geschlossenen Abstellplatz, cler in eine frei sichtbare Rollpiste einztnnünclen schien., so liegt auch keine pflicht- wiclrige Unvorsichtigkeit darin, dass er mit seiner langsamen Geschwin- cligkeit., ohne cliese zu verminclern, gegen clie Rollpiste gefahren ist. Der Einwand des Beschwerdeführers, die Geschwincligkeit sei zu gross gewesen, denn cler Angeklagte habe nicht schneller fahren clürfen, als class er zwischen den parkierten Fahrzeugen hervortretende Gefahren- wegfahrencle W agen oder heraustretencle Personen- hatte bannen kon- nen, ist nicht zu horen. Die Vorinstanz hat verhincllich festgestellt, class inbezug auf diese Eventualitaten die Fahrweise des Angeklagten geniigend vorsichtig war. Es liegen keinerlei Anhaltspunkte dafür vor, class cliese Feststellung will- kürlich wãre. (28. Februar 1963, Auditor e. D. G. 7 i. S.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