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MKGE 10 Nr. 57</w:t>
      </w:r>
    </w:p>
    <w:p>
      <w:r>
        <w:t>Mkg, 1983-09-09, DE</w:t>
      </w:r>
    </w:p>
    <w:p>
      <w:r>
        <w:rPr>
          <w:b/>
        </w:rPr>
        <w:t xml:space="preserve">Quelle: </w:t>
      </w:r>
      <w:r>
        <w:t>https://mcp.opencaselaw.ch/entscheid/mkg_MKGE_10_Nr_57</w:t>
      </w:r>
    </w:p>
    <w:p>
      <w:r>
        <w:t>FR: ATMC 10 n° 57</w:t>
      </w:r>
    </w:p>
    <w:p>
      <w:r>
        <w:t>IT: STMC 10 n. 57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Gemãss Art. 154 Abs. l MStP sind Urteilsausfertigungen dem Ver- teidiger für sich und zuhanden des Verurteilten zuzustelien. Das Handbuch für die Angehõrigen de r Militãrjustiz (Regl. 67 .15) wiederholt diese Vor- schrift in Ziff. 130 Abs. l Bst. e. Die entstandenen Schwierigkeiten mit der Zusteliung der Urteilsausfertigung hãtten vermieden werden kõnnen, wenn auch das für Mat Sdt W. bestimmte Exemplar vorschriftsgemãss dem Ver- teidiger zugestelit worden wãre. Die Rekursfrist hãtte in diesem Fali mit de r Zustellung an den Rechtsbeistand zu laufen begonnen und wãre am 19. Mai 1983 offensichtlich lãngst abgelaufen gewesen.</w:t>
      </w:r>
    </w:p>
    <w:p>
      <w:r>
        <w:rPr>
          <w:b/>
        </w:rPr>
        <w:t>E. 2</w:t>
      </w:r>
    </w:p>
    <w:p>
      <w:r>
        <w:t>und Art. 78 MStP ausnahmsweise zuzulassen ist (vgl. Ziff. 52 Abs. l des Handbuchs), lõste di e s ohne besonderen Vorbehalt bezüglich d er früheren Zustellung nach Treu und Glauben eine neue Rechtsmittelfrist aus (MKGE vom 22.6.1982 i. S. Sch. und Imboden/Rhinow, Schweiz. Verwaltungs- rechtsprechung, 5. Auflage, Band l, S. 529). Der Rekurs erweist sich dem- nach als rechtzeitig, weshalb auf ihn einzutreten ist. (9. September 1983, W. e. DG 9A)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