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V 08 361_2 vom 23. September 2009</w:t>
      </w:r>
    </w:p>
    <w:p>
      <w:r>
        <w:t>LU Gerichte, 2009-09-23, DE</w:t>
      </w:r>
    </w:p>
    <w:p>
      <w:r>
        <w:rPr>
          <w:b/>
        </w:rPr>
        <w:t xml:space="preserve">Quelle: </w:t>
      </w:r>
      <w:r>
        <w:t>https://mcp.opencaselaw.ch/entscheid/lu_gerichte_V_08_361_2</w:t>
      </w:r>
    </w:p>
    <w:p>
      <w:r>
        <w:t>FR: LU_GERICHTE V 08 361_2 du 23 septembre 2009</w:t>
      </w:r>
    </w:p>
    <w:p>
      <w:r>
        <w:t>IT: LU_GERICHTE V 08 361_2 del 23 settembre 2009</w:t>
      </w:r>
    </w:p>
    <w:p>
      <w:pPr>
        <w:pStyle w:val="Heading2"/>
      </w:pPr>
      <w:r>
        <w:t>Regeste</w:t>
      </w:r>
    </w:p>
    <w:p>
      <w:r>
        <w:t>§§ 17 Abs. 1 lit. a, 36 Abs. 2 Ziff. 15 und 16, 116 sowie 140 Abs. 1 PBG; §§ 4 und 15 Abs. 1 lit. b RVO; Art. 26a und 26b BZR der Stadt Luzern. Die Art. 26a und 26b BZR handeln von Reklameanschlagstellen. Diese Bestimmungen verletzen übergeordnetes Recht nicht. | Raumplanung</w:t>
      </w:r>
    </w:p>
    <w:p>
      <w:pPr>
        <w:pStyle w:val="Heading2"/>
      </w:pPr>
      <w:r>
        <w:t>Erwägungen</w:t>
      </w:r>
    </w:p>
    <w:p>
      <w:r>
        <w:rPr>
          <w:b/>
        </w:rPr>
        <w:t>E. 5</w:t>
      </w:r>
    </w:p>
    <w:p>
      <w:r>
        <w:t>a) Die Beschwerdeführerin verweist über weite Strecken auf ihre Ausführungen in der Rechtsschrift an die Vorinstanz (¿). Diese sei - wenn überhaupt - nur pauschal auf ihre Vorbringen eingegangen. b) Vorab ist festzuhalten, dass die Beschwerde ans Verwaltungsgericht über weite Teile identisch ist mit den Ausführungen, welche die Beschwerdeführerin entweder in der ursprünglichen Einsprache an den Stadtrat Luzern (19.9.2003) oder in der Verwaltungsbeschwerde an den Regierungsrat (26.2.2007) gemacht hatte. Die wortwörtlich wiedergegebenen, längeren Passagen aus den Eingaben an die Vorinstanz genügen den Begründungsanforderungen an eine Beschwerdeschrift weder im Sinn von § 133 Abs. 1 VRG noch von § 207 PBG (vgl. BG-Urteil 1C_521/2008 vom 9.2.2009, E. 2.1). Namentlich lassen die zahlreichen Wiederholungen selbst eine konkrete und differenzierte Auseinandersetzung mit den Erwägungen des angefochtenen Entscheids vermissen. Sie legen einzig die Rechtsauffassung der Beschwerdeführerin dar. Die pauschale Behauptung, die Vorinstanz habe sich nicht bzw. ungenügend mit den Vorbringen auseinandergesetzt, erschöpft sich in einer blossen Kritik am vorinstanzlichen Entscheid und genügt den gesetzlichen Anforderungen an die Begründungspflicht nicht. Auf die Rügen in den genannten Ziffern der Beschwerdeschrift ist daher nicht einzutreten. c) Im Übrigen trifft es auch nicht zu, dass die Vorinstanz zu einzelnen Rügen keine Stellung bezogen hat: aa) So hat sie hervorgehoben, dass die Einschränkung der Wirtschaftsfreiheit, auf die sich die Beschwerdeführerin beruft, auf einer gesetzlichen Grundlage beruhen müsse. Mit den neuen Regelungen von Art. 26a und 26b BZR habe die Stadt Luzern die gesetzliche Grundlage für die strittige Einschränkung geschaffen. Die Grundlage für den Erlass solcher Bestimmungen durch die Gemeinde finde sich in § 36 Abs. 2 PBG und § 4 der Reklameverordnung vom 3. Juni 1997 (RVO; SRL Nr. 739). Die umstrittenen Vorschriften stellten als Konkretisierung des Eingliederungsgebots eine genügende gesetzliche Grundlage für eine Beschränkung der Wirtschaftsfreiheit dar. Das Gebot der Eingliederung gehöre zu den Grundsätzen der Raumplanung (Art. 3 Abs. 2 lit. b RPG). Schon nach 140 PBG hätten sich Bauten und Anlagen, wozu auch Reklameanschlagstellen zu zählen seien (§ 3 Abs. 6 RVO), in die bauliche und landschaftliche Umgebung einzugliedern. Die neuen Bestimmungen von Art. 26a und 26b BZR seien als formellgesetzliche Regelung hinreichend bestimmt, da sie die zulässigen Standorte für Plakatwerbung, die erlaubten Formate und deren Häufigkeit sowie die technische Ausführung regelten. Da nach den neuen Bestimmungen kein vollständiges Verbot von Reklameanschlagstellen zur Diskussion stehe, liege kein schwerer Eingriff in die Wirtschaftsfreiheit der Beschwerdeführerin vor (BG-Urteil 2P.247/2006 vom 21.3.2007, E. 3.1). bb) Weiter hat die Vorinstanz dargelegt, weshalb ein öffentliches Interesse für eine Regelung betreffend Reklameanschlagstellen in der Stadt Luzern besteht. Sie begründete die Normierung von Art. 26a und 26b BZR insbesondere mit dem Schutz des Landschafts-, Orts- und Strassenbildes, dem Erscheinungsbild der Ortschaft, der Ästhetik einzelner Strassenzüge und Plätze, der Würde von historischen Stätten und Amtsgebäuden sowie der Einzigartigkeit von Natur- und Kunstdenkmälern. Für die Verwirklichung dieser Anliegen sei es unerlässlich, alle vom öffentlichen Raum aus wahrnehmbaren, sich auf öffentlichem und privatem Grund befindenden Plakat- und Reklameeinrichtungen zu erfassen. Insbesondere der Ortsbildschutz stelle ein taugliches Kriterium zur Beschränkung der Wirtschaftsfreiheit im Plakatwesen dar. Die ästhetische und qualitätvolle Wahrung des Stadt- und Strassenbildes von Luzern, dem die Art. 26a und 26b BZR dienten, sei von grossem öffentlichem Interesse getragen. Die Stadt Luzern weise nach dem Inventar der schützenswerten Ortsbilder der Schweiz ein Ortsbild von nationaler Bedeutung mit vielen differenzierten eigenständigen Besonderheiten auf. Dass daher eine unerwünschte, das Orts- und Strassenbild störende Häufung von Reklameanschlagstellen vermieden werden solle, sei nicht zu beanstanden. Unter diesen Umständen würden die öffentlichen Interessen die privaten Interessen der Beschwerdeführerinnen an einer ungeschmälerten Ausübung ihrer wirtschaftlichen Tätigkeit überwiegen (¿). cc) Zum Verhältnismässigkeitsprinzip wird in E. 9.3 des angefochtenen Entscheids ausgeführt, die gewählte Massnahme müsse zur Verwirklichung des im öffentlichen Interesse liegenden Ziels geeignet und notwendig sein. Ausserdem müsse der angestrebte Zweck in einem vernünftigen Verhältnis zu den eingesetzten Mitteln bzw. den zu seiner Erreichung notwendigen Freiheitsbeschränkungen stehen. Unverhältnismässig wäre nach der bundesgerichtlichen Rechtsprechung etwa ein generelles und undifferenziertes Verbot von Reklamenanschlagstellen. Eine derart weitgehende Beschränkung liege hier nicht vor. Demgegenüber sei ein grundsätzliches Verbot von Werbeplakaten in einzelnen Nutzungszonen verfassungsrechtlich durchaus statthaft (Urteil V 03 47 vom 15.7.2005, E. 3b). Die Stadt Luzern habe mit den neuen Vorschriften des BZR zu den Reklameanschlagstellen eine nachvollziehbare und verhältnismässige Regelung getroffen, die zur Erreichung der angestrebten Ziele geeignet sei. Die Bedeutung der in Frage stehenden öffentlichen Interessen spreche für eine Gesamtbetrachtung, eine konkrete Umsetzung in die Nutzungsplanung und mithin für eine detaillierte Regelung in der vorliegenden Form. Auch das Gebot, Reklameanschlagstellen grundsätzlich freistehend anzubringen, lasse sich mit Blick auf die grosse Zahl historischer Gebäude in der Stadt Luzern sachlich begründen, wobei die Verhältnismässigkeit mit den Ausnahmemöglichkeiten gewahrt bleibe. Die Regelung erfolge aufgrund einer Differenzierung nach der Schutzbedürftigkeit der planungs- und baurechtlichen Zone am jeweiligen Standort, was zulässig sei. dd) Diese Erwägungen zeigen auf, dass sich die Vorinstanz sowohl mit dem Grundsatz des öffentlichen Interesses als auch dem Verhältnismässigkeitsprinzip und der Notwendigkeit einer Regelung eingehend und differenziert auseinandergesetzt hat. Der Regierungsrat hat hinreichend klar gemacht, weshalb er die Vorbringen der Beschwerdeführerin als unbegründet betrachtet. Die Rüge der mangelnden Auseinandersetzung erweist sich, soweit überhaupt darauf einzutreten ist, als unbegründet.</w:t>
      </w:r>
    </w:p>
    <w:p>
      <w:r>
        <w:rPr>
          <w:b/>
        </w:rPr>
        <w:t>E. 6</w:t>
      </w:r>
    </w:p>
    <w:p>
      <w:r>
        <w:t>Im Folgenden ist auf die weiteren einzelnen Rügen in der vorliegenden Beschwerde einzugehen. a) Die Beschwerdeführerin macht zunächst geltend, der kantonale Gesetzgeber messe der Regulierung des Reklamewesens kein hohes öffentliches Interesse zu, weil die Bewilligung von Reklamen weder dem ordentlichen noch dem vereinfachten Bewilligungsverfahren (§§ 184ff. bzw. 198ff. PBG) unterstehe (Beschwerde Ziff. 12). Dies ist unzutreffend. Nach der Rechtsprechung des Verwaltungsgerichts (LGVE 1998 II Nr. 14 E. 2) sind für das Aufstellen der Reklameanschlagstellen - je nach den konkreten Umständen - folgende Bewilligungen notwendig: - Baubewilligung nach § 184 PBG durch den Gemeinderat. - Reklamebewilligung nach § 7 RVO durch die Dienststelle Raumentwicklung, Wirtschaftsförderung und Geoinformation, soweit der Regierungsrat die Kompetenz nicht auf Gesuch hin der Gemeinde übertragen hat. - Ausnahmebewilligung nach § 88 StrG. Wird beim Gemeinderat ein Gesuch um Erstellung einer Reklameanlage eingereicht, die nebst der eigentlichen Baubewilligung weiterer Bewilligungen verschiedener Behörden bedarf, sind die Verfahren zu koordinieren (§ 11 Abs. 1 RVO mit Verweis auf die Vorschriften nach PBG [§ 192a PBG]). Als Leitverfahren gilt in einem solchen Fall das Baubewilligungsverfahren (vgl. LGVE 1998 II Nr. 14 E. 3b). Soweit die Beschwerdeführerin der Auffassung ist, für Reklamebewilligungen bestehe kein öffentliches Interesse, irrt sie. Wie das Verwaltungsgericht bereits im Urteil V 03 119 u.w. vom 7. Juni 2005, welches ebenfalls die heutige Beschwerdeführerin betrifft, erkannt hat, liegt die Normierung des Plakatanschlags, insbesondere zum Schutz des Orts- und Landschaftsbildes im öffentlichen Interesse (E. 2b mit Hinweisen). Dies steht in Einklang mit der Rechtsprechung des Bundesgerichts, welche das öffentliche Interesse für Plakatanschläge aus Gründen der Verkehrssicherheit, zum Schutz des Landschafts-, Orts- und Strassenbildes, zur Wahrung der Ästhetik wie auch der Würde von historischen Stätten und Amtsgebäuden sowie der Einzigartigkeit von Natur- und Kunstdenkmälern als gegeben betrachtet (BGE 128 I 14 E. 3e/bb). b) Im Weiteren trägt die Beschwerdeführerin vor, unter dem Gesichtspunkt des öffentlichen Interesses seien die Anschauungen über Reklamen kontrovers: Während sogenannte Litfasssäulen in einigen Gemeinden bereits unter Denkmalschutz gestellt seien, werde andernorts Plakatwerbung als störend, unästhetisch empfunden. Sinngemäss scheint die Beschwerdeführerin zu bestreiten, dass eine Reglementierung des Plakatwesens aus Gründen der Ästhetik notwendig bzw. im öffentlichen Interesse liege. aa) Gemäss § 140 Abs. 1 PBG haben sich Bauten und Anlagen in die bauliche und landschaftliche Umgebung einzugliedern. Sie sind zu untersagen, wenn sie durch ihre Grösse, Proportion, Gestaltung, Bauart, Dachform oder Farbe das Orts- und Landschaftsbild beeinträchtigen. Auch § 15 Abs. 1 lit. b RVO verbietet Reklamen, wenn sie durch ihre Ausgestaltung oder Häufung das Orts- oder Landschaftsbild beeinträchtigen. Im Rahmen des öffentlichen Baurechts ergänzt und verstärkt das Eingliederungsgebot seit jeher das Verunstaltungs- bzw. Beeinträchtigungsverbot. Über dieses hinaus soll positiv auf die Gestaltung von Bauten und Anlagen eingewirkt werden, sodass eine befriedigende Gesamtwirkung entsteht (BGE 101 Ia 219; LGVE 1998 II Nr. 14 E. 4b). Ganz allgemein wird dies bei baulichen Vorhaben durch die Rücksichtnahme auf gewachsene und bestehende Strukturen gewährleistet. Die Sicherstellung der ästhetischen Einordnung neuer Bauten und Anlagen in das bestehende Ortsbild bezweckt hauptsächlich den Schutz von Interessen der Allgemeinheit (Urteil V 01 38 vom 22.8.2003). Ob in einem konkreten Fall ein Schutzbedürfnis besteht, ist nach objektiven und grundsätzlichen Kriterien zu prüfen. Eine Beeinträchtigung setzt einen Gegensatz voraus, der so erheblich ist, dass ein Eingriff in die Eigentumsgarantie gerechtfertigt ist. Die Beeinträchtigung ist am Wert des zu schützenden Objektes zu messen, wobei eine gebietsübergreifende Perspektive einzunehmen ist. Je grösser dieser Wert ist, desto stärker ist die Empfindlichkeit gegenüber Eingriffen (LGVE 1978 II Nr. 8 E. 3a; Zimmerlin, Kommentar zum Baugesetz des Kantons Aargau, 2.Aufl., Aarau 1985, N 5f. zu § 159). Stets hat zudem eine Abwägung zwischen Schutzüberlegungen und dem Nutzungsinteresse der betroffenen Grundeigentümer stattzufinden. Bei der Beurteilung der Eingliederung darf nicht auf ein subjektives ästhetisches Empfinden abgestellt werden, sondern sind möglichst objektivierte Kriterien anzuwenden (vgl. LGVE 1998 II Nr. 14 E. 4b; ZBl 1998 S. 175 mit Hinweisen; Zimmerlin, a.a.O., N 5 zu § 159 mit weiteren Hinweisen). Den zuständigen Behörden steht somit bei der Anwendung von § 140 Abs. 1 PBG und § 15 Abs. 1 lit. b RVO ein weiter Ermessensspielraum zu, da die ästhetische Wirkung von typisch lokalem Interesse ist. Zudem kennt die Baubewilligungsbehörde die lokalen Verhältnisse besser als die kantonalen Rechtsmittelinstanzen und bietet damit für eine einheitliche Handhabung der Eingliederungsvorschriften am besten Gewähr. Daher hält sich das Verwaltungsgericht bei der Beurteilung derartiger Vorschriften zurück. Solange sich die Entscheidung der Vorinstanz auf vertretbare Gründe zu stützen vermag, ist dies zu respektieren, auch wenn andere ästhetische Sichtweisen ebenfalls denkbar wären (zum Ganzen: LGVE 2004 II Nr. 16 E. 4c betreffend Plakatierungskonzept; vgl. auch Urteil 1P.678/2004 vom 21.6.2005, in: ZBl 2006, S. 430ff.; Urteil V 07 360 vom 17.9.2008, E. 5b). bb) Reklamen und insbesondere auch Reklameanschlagstellen gehören zum städtischen Leben und entsprechen einem Bedürfnis der Wirtschaft und der Konsumenten. Es gilt jedoch, ein Gleichgewicht zu finden zwischen dem Interesse der Wirtschaft an Werbung, den finanziellen Interessen der Grundeigentümer und dem öffentlichen Interesse der Ästhetik (Ortsbild). Wie das Verwaltungsgericht zum öffentlichen Interesse erwogen hat, geht von Plakaten ein Beeinträchtigungspotential aus. Im bereits zitierten Urteil vom 7. Juni 2005 verwarf es den Einwand der Beschwerdeführerin, eine Plakatierungsregelung, welche sich an den unterschiedlichen Nutzungszonen und Strassenkategorien orientiere, könne nicht dazu beitragen, das im öffentlichen Interesse liegende Ziel des Ortsbildschutzes zu erreichen. Gerade die Unterteilung der Bauzonen in Zonen unterschiedlicher Nutzungsart, Nutzungsdichte und Bauweise dient dazu, die Wohnlichkeit zu erhöhen. Insbesondere ästhetischen Überlegungen kann dadurch oft in entscheidender Weise Rechnung getragen werden (vgl. Hänni, Planungs-, Bau- und besonderes Umweltschutzrecht, 4.Aufl., Bern 2002, S. 159; EJPD/BRP, Erläuterungen zum Bundesgesetz über die Raumplanung, Bern 1981, N 6 zu Art. 15). Da Plakate, je nach dem konkreten baulichen und landschaftlichen Umfeld, als mehr oder weniger störend empfunden werden, drängt sich für die Reklamebeschränkung die Orientierung an den unterschiedlichen Empfindlichkeitsstufen der einzelnen Bauzonen bzw. Strassenkategorien geradezu auf. Es ist sogar zulässig, Fremdreklamen in schützenswerten Gebieten und Ortsteilen aus ästhetischen Gründen gänzlich zu untersagen; lediglich ein undifferenziertes und ausnahmsloses Verbot von Fremdreklamen auf privatem Grund könnte sich allenfalls als unverhältnismässiger Eingriff in die Wirtschaftsfreiheit und die Eigentumsgarantie erweisen (BGE 128 I 17 E. 4b; ZBl 101/2000 S. 137f.). Die neuen Art. 26a und 26b BZR der Stadt Luzern enthalten allgemeine Bestimmungen für das ganze Gemeindegebiet und besondere Regelungen zu Reklameanschlagstellen für einzelne Nutzungszonen. Die Vorschriften gelten für den privaten wie auch den öffentlichen Grund. Die allgemeinen Bestimmungen (Art. 26a BZR) sehen vor, dass Reklameanschlagstellen grundsätzlich freistehend anzubringen sind und legen - in Abhängigkeit von den Plakatformaten - die Zahl der Reklameanschlagstellen pro Standort fest. Sie konkretisieren damit den unbestimmten Begriff der Häufigkeit (vgl. § 15 Abs. 1 lit. b RVO). Die speziellen Vorschriften (Art. 26b BZR) regeln die Zulässigkeit von Reklameanschlagstellen und Formaten in den einzelnen Nutzungszonen. Den neuen Bestimmungen liegt das Ziel zugrunde, dass die Plakatierung als zeitgemässes Werbemedium und stadtbildprägendes Element ästhetisch ansprechend sein und als eigenständiges Gestaltungselement in das Stadtbild Luzerns integriert werden soll (vgl. Bericht und Antrag des Stadtrats an den Grossen Stadtrat von Luzern vom 22.11.2006 [B+A 48/2006], S. 9 Ziff. 5). Bereits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