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08 218_2 vom 28. April 2009</w:t>
      </w:r>
    </w:p>
    <w:p>
      <w:r>
        <w:t>LU Gerichte, 2009-04-28, DE</w:t>
      </w:r>
    </w:p>
    <w:p>
      <w:r>
        <w:rPr>
          <w:b/>
        </w:rPr>
        <w:t xml:space="preserve">Quelle: </w:t>
      </w:r>
      <w:r>
        <w:t>https://mcp.opencaselaw.ch/entscheid/lu_gerichte_A_08_218_2</w:t>
      </w:r>
    </w:p>
    <w:p>
      <w:r>
        <w:t>FR: LU_GERICHTE A 08 218_2 du 28 avril 2009</w:t>
      </w:r>
    </w:p>
    <w:p>
      <w:r>
        <w:t>IT: LU_GERICHTE A 08 218_2 del 28 aprile 2009</w:t>
      </w:r>
    </w:p>
    <w:p>
      <w:pPr>
        <w:pStyle w:val="Heading2"/>
      </w:pPr>
      <w:r>
        <w:t>Regeste</w:t>
      </w:r>
    </w:p>
    <w:p>
      <w:r>
        <w:t>Art. 16d Abs. 1 lit. b SVG. Die für Kopfhaare geltenden Werte (namentlich betreffend Wachstumsgeschwindigkeit, Wachstumszyklen und EtG-Grenzwerte) lassen sich nicht unbesehen auf die verschiedenen Arten der Körperbehaarung übertragen. Die Haaranalyse von Brusthaaren ist zwar geeignet, um eine Drogeneinnahme zu klären oder eine behauptete Abstinenz zu überprüfen, nicht aber zur Abgrenzung einer bestimmten Zeitspanne. | Administrativmassnahmen</w:t>
      </w:r>
    </w:p>
    <w:p>
      <w:pPr>
        <w:pStyle w:val="Heading2"/>
      </w:pPr>
      <w:r>
        <w:t>Volltext</w:t>
      </w:r>
    </w:p>
    <w:p>
      <w:r>
        <w:t>Luzern Kantonsgericht sonstige 28.04.2009 A 08 218_2 (2009 II Nr. 19)</w:t>
      </w:r>
    </w:p>
    <w:p>
      <w:r>
        <w:t>Art. 16d Abs. 1 lit. b SVG. Die für Kopfhaare geltenden Werte (namentlich betreffend Wachstumsgeschwindigkeit, Wachstumszyklen und EtG-Grenzwerte) lassen sich nicht unbesehen auf die verschiedenen Arten der Körperbehaarung übertragen. Die Haaranalyse von Brusthaaren ist zwar geeignet, um eine Drogeneinnahme zu klären oder eine behauptete Abstinenz zu überprüfen, nicht aber zur Abgrenzung einer bestimmten Zeitspanne. | Administrativmassnahmen</w:t>
      </w:r>
    </w:p>
    <w:p>
      <w:r>
        <w:t>Rechtsprechung Luzern Instanz: Verwaltungsgericht Abteilung: Abgaberechtliche Abteilung Rechtsgebiet: Administrativmassnahmen Entscheiddatum: 28.04.2009 Fallnummer: A 08 218_2 LGVE: 2009 II Nr. 19 Leitsatz: Art. 16d Abs. 1 lit. b SVG. Die für Kopfhaare geltenden Werte (namentlich betreffend Wachstumsgeschwindigkeit, Wachstumszyklen und EtG-Grenzwerte) lassen sich nicht unbesehen auf die verschiedenen Arten der Körperbehaarung übertragen. Die Haaranalyse von Brusthaaren ist zwar geeignet, um eine Drogeneinnahme zu klären oder eine behauptete Abstinenz zu überprüfen, nicht aber zur Abgrenzung einer bestimmten Zeitspanne. Rechtskraft: Diese Entscheidung ist rechtskräftig. Entscheid: Im Dezember 2007 entzog das Strassenverkehrsamt des Kantons Luzern A aufgrund einer Fahrt im angetrunkenen Zustand (mit einem Blutalkoholspiegel von 1,81 Promille), begangen im September 2007, den Führerausweis für fünf Monate. Dieser Entzug endete Ende Februar 2008. Ende März 2008 kollidierte A mit seinem Personenwagen nachts auf einem Parkplatz beim Wegfahren mit dem nebenan parkierten Personenwagen des B. Ohne sich um den Schaden zu kümmern, entfernte sich A von der Unfallstelle. Eine Zeugin hatte den Unfall beobachtet und verständigte die Polizei. Daraufhin begaben sich zwei Polizisten an die Wohnadresse von A und führten mit ihm einen Atemalkoholtest durch, der mit 1,82 Promille positiv ausfiel, weshalb sie ihm den Führerausweis abnahmen. Anschliessend wurde im Kantonsspital Luzern eine Blutprobe abgenommen. Die rückgerechnete Blutalkoholkonzentration ergab unter Berücksichtigung des von A geltend gemachten Nachtrunks von 0,12 Promille einen Minimalwert von 1,84 Promille. Aufgrund dieses Vorfalls ordnete das Strassenverkehrsamt des Kantons Luzern zunächst den vorsorglichen Entzug des Führerausweises an und trug A auf, sich verkehrsmedizinisch begutachten zu lassen. Gestützt auf das Gutachten des Instituts für Rechtsmedizin der Universität Zürich (IRMZ) und die Vorgeschichte entzog das Strassenverkehrsamt des Kantons Luzern A den Führerausweis auf unbestimmte Zeit (Sicherungsentzug). Die Wiedererteilung des Führerausweises machte es vom Nachweis einer mindestens sechsmonatigen, totalen und ärztlich kontrollierten Alkoholabstinenz, vom klaglosen Verhalten As in jeder Hinsicht sowie von einer erneuten Kontrolluntersuchung beim IRMZ abhängig. Das Verwaltungsgericht hiess die dagegen erhobene Verwaltungsgerichtsbeschwerde teilweise gut, hob die angefochtene Verfügung auf und wies die Sache zur Neubeurteilung an die Vorinstanz zurück. Aus den Erwägungen: 4.- Indem die Vorinstanz eine spezialärztliche Begutachtung anordnete und auf das verkehrsmedizinische Gutachten des Instituts für Rechtsmedizin der Universität Zürich (IRMZ) abstellte, wurde sie ihrer behördlichen Verpflichtung zur Klärung des Sachverhalts grundsätzlich gerecht. Die Vorinstanz weist darauf hin, dass sie sich angesichts der Reputation des IRMZ und seiner Spezialisierung auf verkehrsmedizinische Abklärungen konsequent an dessen Empfehlungen halte. Die Gutachterin verneinte die Fahreignung des Beschwerdeführers im Wesentlichen gestützt auf die Vorfälle von September 2007 und März 2008, einen erhöhten CDT-Blutwert, eine Brusthaarprobe, von der sie auf einen Alkoholabusus schloss, und auf das Trinkverhalten des Beschwerdeführers. Demgegenüber stellt der Beschwerdeführer die Schlussfolgerungen der Gutachterin, wonach seine Fahreignung nicht befürwortet werden könne, in Frage. Folglich bleibt zu prüfen, ob das verkehrsmedizinische Gutachten eine ausreichende, schlüssige und überzeugende Grundlage bildet, um den auf Art. 16d Abs. 1 lit. b SVG gestützten Sicherungsentzug des Führerausweises auf unbestimmte Zeit zu rechtfertigen. a/aa) Nach der Rechtsprechung erfordert die Abklärung eines gesundheitsschädlichen Alkoholkonsums zunächst eine Laboruntersuchung, bei der die biologischen Alkohol(missbrauchs)marker CDT, MCV, Gamma-GT, GOT (AST) und GPT (ALT) gemessen werden (vgl. Leitfaden Verdachtsgründe fehlender Fahreignung - Massnahmen - Wiederherstellung der Fahreignung vom 26.4.2000, S. 17, Anhang 3 [zitiert: "Leitfaden"]). In der medizinischen Literatur wird die Messung des konventionellen Markers Gamma-GT (Gamma-Glutamyl-Transferase) als der heute am häufigsten eingesetzte Einzeltest zur Diagnostik übermässigen Alkoholkonsums beschrieben. Erhöhte Werte gelten - namentlich bei gleichzeitiger pathologischer Erhöhung anderer leberzellspezifischer Enzyme (GOT [AST], GPT [ALT]) als Ausdruck einer Schädigung der Leberzellen. Der Marker ist daher ein indirekter Indikator für überhöhten Alkoholkonsum, da eine Organschädigung vorliegen muss, ehe im Blut ein Anstieg der Gamma-GT-Werte sichtbar wird. Als Nachweis eines längeren übermässigen Alkoholkonsums (über die Dauer von etwa sechs Wochen bei einem täglichen Konsum von 60 Gramm Alkohol) gilt auch die Erhöhung des MCV-Werts (mittleres korpuskuläres Erythrozytenvolumen [rote Blutkörperchen]). Wenn sowohl Gamma-GT als auch MCV erhöht sind, wird ein exzessiver Alkoholkonsum als sehr wahrscheinliche Ursache angesehen.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oder über 6%-CDT - jedenfalls bei Männern - als pathologisch.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In der Literatur wird darauf hingewiesen, dass der CDT-Wert auf die Aussage beschränkt ist, dass in den vorangegangenen mindestens zwei bis drei Wochen ein regelmässiger und praktisch täglicher Alkoholkonsum von zumindest 50-60 Gramm erfolgte. Auf der anderen Seite zeigt der Alkohol(missbrauchs)marker kurze Alkoholexzesse nicht an (zum Ganzen: BGE 129 II 89f. E. 6.2.1 mit zahlreichen Hinweisen; Seeger, Fahreignung und Alkohol, in: IRMZ [Hrsg.], Probleme der Verkehrsmedizin, Zürich 1999, S. 13). bb) Gemäss dem Gutachten ergaben die Laborbefunde anhand der Blutentnahme vom Juni 2008 einen CDT-Wert von 2,1%. Dieser Wert war somit gegenüber dem von der Gutachterin angegebenen Grenzwert von 1,9% leicht erhöht. Die übrigen gemessenen Werte (Gamma-GT, GOT, GPT und MCV) lagen im Normbereich. Ein erhöhter CDT-Wert ist allerdings nach der Rechtsprechung nur mit Zurückhaltung zu würdigen, insbesondere, wenn die übrigen Laborwerte keine pathologische Erhöhung zeigen. Für sich alleine lässt er den Schluss auf eine Alkoholabhängigkeit jedenfalls noch nicht zu und reicht für eine so schwerwiegende Massnahme wie den Sicherungsentzug nicht aus (BGE 129 II 90 E. 6.2.2 mit Hinweis; BG-Urteil 1C_16/2008 vom 3.9.2008, E. 5.3). b/aa) Anlässlich der verkehrsmedizinischen Begutachtung des Beschwerdeführers wurde auch eine Haaranalyse durchgeführt, auf deren Resultat sich die Gutachterin massgeblich abstützt. Anders als bei der bisher verwendeten Laboranalytik zur Überprüfung des Alkoholkonsums anhand der beschriebenen, aus dem Blut ermittelten Parameter CDT, Gamma-GT, GOT, GPT und MCV, mit der kein direkter Alkoholkonsum-Nachweis erbracht werden kann, handelt es sich bei der neu eingesetzten forensisch-toxikologischen Haaranalyse auf Ethylglucuronid (EtG) um eine direkte, beweiskräftige Analysemethode, welche von der Rechtsprechung anerkannt wird (BG-Urteil 6A.8/2007 vom 1.5.2007, E. 2.3, auch zum Folgenden). Das EtG ist ein nicht oxidatives Nebenprodukt des Stoffwechsels von Trinkalkohol bzw. Ethanol, welches nach Alkoholkonsum über das Blut via Haarwurzel ins wachsende Haar eingelagert wird. Weil EtG ein Abbauprodukt von Alkohol ist, belegt dessen Nachweis den Konsum von Alkohol. Beim Kopfhaar lassen sich aufgrund des Längenwachstums von ca. 1 cm pro Monat Aussagen über den Alkoholkonsum während der entsprechenden Zeit vor der Haarentnahme machen (Liniger, Die Bedeutung der chemisch-toxikologischen Spezialanalytik in der verkehrsmedizinischen Fahreignungsbegutachtung, in Schaffhauser [Hrsg.], Jahrbuch zum Strassenverkehrsrecht 2007, St. Gallen 2007, S. 37f.). Bei normalem Alkoholkonsum (sog. "social drinking") finden sich EtG-Werte bis 30 pg/mg Haare, bei übermässigem Alkoholkonsum (sog. "alcohol abuse") Werte über 30 pg/mg Haare. bb) Weil der Beschwerdeführer krankheitsbedingt über keine Kopfhaare mehr verfügt, wurde ihm eine Brusthaar-Probe von bis zu 2 cm entnommen und untersucht. Dies ergab einen EtG-Wert von 100 pg/mg Haare. Die Gutachterin führt dazu aus, dass die untersuchten Brusthaare gemäss den untersuchenden Toxikologen grob geschätzt den durchschnittlichen Konsum mindestens der letzten zwei bis vier Monate vor der Haarsicherstellung von Juni 2009 widerspiegelten. In der untersuchten Haarprobe sei Ethylglucuronid in einer Konzentration festgestellt worden, die auf einen regelmässigen, starken Konsum im Sinn eines Alkoholabusus im genannten Zeitraum hinweise. Dieser Einschätzung kann allerdings nicht gefolgt werden. Zwar können gemäss dem medizinischen Schrifttum in sämtlichen Körperhaaren Substanzen eingelagert werden, so dass neben dem Kopfhaar grundsätzlich auch Scham-, Achsel-, Brust-, Bein- oder Armhaare für die Zwecke der Haaranalyse herangezogen werden können (vgl. Auwärter, Fettsäureetyhlester als Marker exzessiven Alkoholkonsums, Diss. Berlin 2006, eingesehen unter: http://edoc.huberlin.de/dissertationen/auwaerter-volker-2006-01-20/HTML/front.html, S. 123, auch zum Folgenden). Die für die Kopfhaare geltenden Werte (namentlich betreffend die Wachstumsgeschwindigkeit, die Wachstumszyklen und die EtG-Grenzwerte) lassen sich jedoch nicht unbesehen auf die verschiedenen Arten der Körperbehaarung übertragen. Solche Proben besitzen einen Anteil nicht wachsender (sog. telogener) Haare von 40-60% bei unterschiedlicher Haarwachstumsgeschwindigkeit und verschiedenen Wachstumszyklen. Eine Aussage bezüglich der repräsentierten Zeitspanne ist daher aus der Haarlänge nicht zu treffen. An diesen Körperstellen gewonnene Haarproben repräsentieren stattdessen den gesamten Wachstumszyklus, der beispielsweise bei Schamhaaren von zwei bis zu drei Jahren und bei Brusthaaren von vier bis zu zehn Monaten reicht. Bei fehlenden Kopfhaaren sind diese Proben zwar sehr gut geeignet, um eine Drogeneinnahme zu klären oder eine behauptete Abstinenz zu überprüfen. Sie sind - anders als die Kopfhaare - aber nicht geeignet zur Abgrenzung einer bestimmten Zeitspanne. Zudem liefern Schamhaare und andere Körperhaare häufig höhere Konzentrationen als Kopfhaare. Ursache ist vor allem die grössere repräsentierte Zeitspanne, so dass mehrmonatige Abstinenz bei kurzen Kopfhaaren bereits zum negativen Befund führt, während gleichlange Körperhaare noch einen stark positiven Befund ergeben (zum Ganzen: Pragst/Sachs, Die Haarprobe als Untersuchungsmatrix zur toxikologischen Fahreignungsdiagnostik, in: Pragst/Aderjan, Aktuelle Beiträge zur Forensischen und Klinischen Toxikologie: Fahreignung, K.O.-Mittel, Toxikokinetik, Analytische Methoden, Bad Vilbel 2008, S. 89f., eingesehen unter: http://www.gtfch.org/cms/images/stories/media/tb/tb2007/s084-099.pdf). Der EtG-Wert der dem Beschwerdeführer entnommenen Brusthaarprobe lässt somit lediglich den - sehr vagen - Schluss zu, dass der Beschwerdeführer in den letzten vier bis zehn Monaten vor der Probe Alkohol konsumiert hat, was er selbst nie in Abrede gestellt hat. Eine genauere Eingrenzung des Zeitraums oder eine einigermassen zuverlässige Schätzung der konsumierten Mengen sind dagegen nicht möglich. Auch die Haaranalyse liefert daher keine tauglichen Anhaltspunkte, um die Fahreignung des Beschwerdeführers zu verneinen. c) Nebst den Laboruntersuchungen zur Abklärung eines gesundheitsschädlichen Alkoholkonsums kommt in Konstellationen wie der vorliegenden, in denen die Laborwerte keine pathologischen Erhöhungen zeigen - und demnach allein ein verkehrsrelevanter Alkoholmissbrauch in Frage steht -, der gründlichen Prüfung der persönlichen Verhältnisse besondere Bedeutung zu. Dazu gehört etwa die Einholung von Fremdberichten von Hausarzt, Arbeitgeber und Familienangehörigen,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Das Bundesgericht erachtete dabei ein bloss protokollartiges Festhalten der Angaben des Exploranden zu seiner gesundheitlichen Situation, zum Alkoholkonsum und zur Trunkenheitsfahrt ohne Vorhalt des bei der Fahrt gemessenen erheblichen Blutalkoholwertes als ungenügend. Keine Aussagekraft komme auch der handschriftlichen Notiz eines Hausarztes auf einem Rezeptzettel zu, die körperliche Untersuchung habe keine pathologischen Veränderungen gezeigt, wie auch telefonisch angegebenen Laborwerten (BGE 129 II 91 E. 6.2.2; vgl. Seeger, a.a.O., S. 11ff.). aa) Bei der körperlichen Untersuchung fiel der Gutachterin einzig eine Hautrötung im oberen Thoraxbereich auf, welche als Hinweis auf vermehrten Alkoholkonsum gewertet werden könne, hierfür aber nicht alleinig beweisend sei. Einschränkend sei jedoch zu berücksichtigen, so die Gutachterin, dass der Beschwerdeführer an einer Neurodermitis leide, die er gemäss seinen eigenen Angaben mit Cortisonsalben behandle. Die übrigen körperlichen Befunde waren unauffällig, und die Gutachterin attestierte dem Beschwerdeführer einen guten Allgemeinzustand. Somit ergeben sich auch aus der körperlichen Untersuchung keine eindeutigen Anhaltspunkte für eine die Fahreignung ausschliessende Trunksucht. bb) Fremdberichte wurden keine eingeholt. Zu den persönlichen Verhältnissen lässt sich dem Gutachten von Juli 2008 entnehmen, dass der Beschwerdeführer von Beruf [...] ist, von seiner Ehefrau getrennt lebt und aus zwei Ehen drei Kinder hat. Im Rahmen der Alkoholanamnese schilderte der Beschwerdeführer einen gelegentlichen Konsum von Bier oder Wein, aber auch von höherprozentigen Alkoholika wie Cognac oder Wodka. Er erklärte, den Alkohol im Wesentlichen aus Genuss zu trinken. Zu den beiden Trunkenheitsfahrten befragt, sagte der Beschwerdeführer, dass es sich beim Vorfall von September 2007 um "typisches Frusttrinken" nach einem Streit mit seiner Ehefrau gehandelt habe. Der Alkoholkonsum von März 2008 sei während und im Anschluss an einen Bordellbesuch aus einer "emotionalen Stimmung" heraus erfolgt. Der Beschwerdeführer hielt des Weiteren fest, dass er seit dem Vorfall von März 2008 an seinem Alkoholkonsumverhalten nichts geändert habe. d) Die Gutachterin kam bei gesamthafter Betrachtung zum Ergebnis, dass beim Beschwerdeführer von einem vermehrten Alkoholkonsum ausgegangen werden müsse, der letztlich verantwortlich gemacht werden müsse für die zur Diskussion stehenden Vorfälle. Ohne nachhaltige Verhaltensänderung bezüglich des Alkoholkonsums müsse die Gefahr weiterer Vorfälle als erhöht betrachtet werden, so dass die Fahreignung des Beschwerdeführers nicht befürwortet werden könne. Da die Laborwerte und die körperliche Untersuchung einen Alkoholkonsum zwar grundsätzlich belegen, aber nicht auf ein Übermass hinweisen, gründet die Schlussfolgerung der Gutachterin letztlich nur darauf, dass sich der Beschwerdeführer zum einen zwei Trunkenheitsfahrten hatte zuschulden kommen lassen und dass er zum andern auch danach seine Alkoholkonsumgewohnheiten nicht geändert hat. Auch wenn der Rückfall beim Fahren in angetrunkenem Zustand und die Höhe der Blutalkoholkonzentration auf von der Norm abweichende Trinkgewohnheiten hindeuten und damit Anhaltspunkte für eine Suchtproblematik bilden, lässt der Rückfall für sich alleine gemäss der Rechtsprechung noch keinen zwingenden Rückschluss auf eine die Fahreignung ausschliessende Alkoholproblematik zu (BGE 129 II 91f. E. 6.2.2), so dass der Einschätzung der Gutachterin nicht gefolgt werden kann. Die Vorinstanz hätte daher gestützt auf das eingeholte verkehrsmedizinische Gutachten die Fahreignung des Beschwerdeführers nicht verneinen dürfen. Insofern ist die Beschwerde also gutzuheissen. (Die dagegen erhobene Beschwerde in öffentlich-rechtlichen Angelegenheiten wurde vom Bundesgericht am 9. März 2010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