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A 03 239_2 vom 12. Juli 2004</w:t>
      </w:r>
    </w:p>
    <w:p>
      <w:r>
        <w:t>LU Gerichte, 2004-07-12, DE</w:t>
      </w:r>
    </w:p>
    <w:p>
      <w:r>
        <w:rPr>
          <w:b/>
        </w:rPr>
        <w:t xml:space="preserve">Quelle: </w:t>
      </w:r>
      <w:r>
        <w:t>https://mcp.opencaselaw.ch/entscheid/lu_gerichte_A_03_239_2</w:t>
      </w:r>
    </w:p>
    <w:p>
      <w:r>
        <w:t>FR: LU_GERICHTE A 03 239_2 du 12 juillet 2004</w:t>
      </w:r>
    </w:p>
    <w:p>
      <w:r>
        <w:t>IT: LU_GERICHTE A 03 239_2 del 12 luglio 2004</w:t>
      </w:r>
    </w:p>
    <w:p>
      <w:pPr>
        <w:pStyle w:val="Heading2"/>
      </w:pPr>
      <w:r>
        <w:t>Regeste</w:t>
      </w:r>
    </w:p>
    <w:p>
      <w:r>
        <w:t>§ 29a HStG. Veranlagungsverjährung. Zur Tragweite der Übergangsbestimmungen. Für die Veranlagung der ordentlichen Handänderungssteuer enthält § 29a Abs. 1 HStG - im Gegensatz zur Nachsteuer und zur Busse - keine übergangsrechtliche Regelung der Verjährung. Nach den Grundsätzen des allgemeinen Verwaltungsrechts sind jedoch die Verjährungsbestimmungen des neuen Rechts auf altrechtliche Ansprüche anwendbar, wenn diese unter der Geltung des alten Rechts noch nicht verjährt waren. Somit gelten für alle Steuern nach HStG die neuen Verjährungsbestimmungen, falls die Verjährung des Steueranspruchs per 1. Januar 2001 noch nicht eingetreten war. | Handänderungssteuer</w:t>
      </w:r>
    </w:p>
    <w:p>
      <w:pPr>
        <w:pStyle w:val="Heading2"/>
      </w:pPr>
      <w:r>
        <w:t>Erwägungen</w:t>
      </w:r>
    </w:p>
    <w:p>
      <w:r>
        <w:rPr>
          <w:b/>
        </w:rPr>
        <w:t>E. 8</w:t>
      </w:r>
    </w:p>
    <w:p>
      <w:r>
        <w:t>(....) Im Sinn der obigen Ausführungen sind für die Frage der Verjährung die neuen ab 1. Januar 2001 in Kraft getretenen Bestimmungen des Handänderungssteuergesetzes anwendbar. Gemäss § 13 Abs. 1 HStG erlischt das Recht auf Steuerfestsetzung fünf Jahre nach der Handänderung. Somit ist die Veranlagung vom 22. Mai 2002 rechtzeitig erfolgt.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