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7W 13 7 vom 29. November 2017</w:t>
      </w:r>
    </w:p>
    <w:p>
      <w:r>
        <w:t>LU Gerichte, 2017-11-29, DE</w:t>
      </w:r>
    </w:p>
    <w:p>
      <w:r>
        <w:rPr>
          <w:b/>
        </w:rPr>
        <w:t xml:space="preserve">Quelle: </w:t>
      </w:r>
      <w:r>
        <w:t>https://mcp.opencaselaw.ch/entscheid/lu_gerichte_7W_13_7</w:t>
      </w:r>
    </w:p>
    <w:p>
      <w:r>
        <w:t>FR: LU_GERICHTE 7W 13 7 du 29 novembre 2017</w:t>
      </w:r>
    </w:p>
    <w:p>
      <w:r>
        <w:t>IT: LU_GERICHTE 7W 13 7 del 29 novembre 2017</w:t>
      </w:r>
    </w:p>
    <w:p>
      <w:pPr>
        <w:pStyle w:val="Heading2"/>
      </w:pPr>
      <w:r>
        <w:t>Regeste</w:t>
      </w:r>
    </w:p>
    <w:p>
      <w:r>
        <w:t>Besteuerung des Gewinns beim Verkauf landwirtschaftlicher Grundstücke in der Bauzone. Keine Anwendung des Rückwirkungsverbot bei Praxisänderungen (E. 3). Eine Praxis kann ausnahmsweise eine Vertrauensgrundlage bilden, begründet den Vertrauensschutz aber nur bei Vertrauensbetätigung (E. 4.2). Formulare und Akonto-Rechnungen nach freiwilligen Zahlungen des Steuerpflichtigen sind keine vertrauensbegründenden Auskünfte oder gar Zusicherungen (E. 4.4). Keine Verletzung des Willkür- und des Rechtsgleichheitsgebots durch konsequente Besteuerung nach der Praxisänderung (E. 4.5). | § 25 Abs. 2 StG, § 25 Abs. 4 StG; § 1 GGStG. | Grundstückgewinnsteuer</w:t>
      </w:r>
    </w:p>
    <w:p>
      <w:pPr>
        <w:pStyle w:val="Heading2"/>
      </w:pPr>
      <w:r>
        <w:t>Erwägungen</w:t>
      </w:r>
    </w:p>
    <w:p>
      <w:r>
        <w:rPr>
          <w:b/>
        </w:rPr>
        <w:t>E. 4</w:t>
      </w:r>
    </w:p>
    <w:p>
      <w:r>
        <w:t>Die Frage, ob es verfassungsrechtlich geboten ist, bestimmte Erwartungshaltungen des Steuerpflichtigen nicht zu enttäuschen, stellt sich auch im Licht des Vertrauensschutzprinzips. Es ist deshalb zu prüfen, ob eine frühere Praxis als Vertrauensgrundlage herangezogen werden kann.</w:t>
      </w:r>
    </w:p>
    <w:p>
      <w:r>
        <w:rPr>
          <w:b/>
        </w:rPr>
        <w:t>E. 4.1</w:t>
      </w:r>
    </w:p>
    <w:p>
      <w:r>
        <w:t>Gemäss Art. 9 BV hat jede Person Anspruch darauf, von den staatlichen Organen nach Treu und Glauben behandelt zu werden. Der Grundsatz des Vertrauensschutzes stellt die grundrechtliche Komponente dieses verfassungsmässigen Grundsatzes von Treu und Glauben dar. Der Grundsatz ist eng mit dem Rechtssicherheitsprinzip verbunden, schützt aber nicht das Vertrauen in die Stabilität und Kontinuität staatlichen Handelns, sondern das individuelle Vertrauen, das auf einer bestimmten, berechtigten Erwartungshaltung beruht (Reich, a.a.O., § 4 N 99 f., a.z.F.). Ein solch schützenswertes Vertrauen wird namentlich durch konkrete Äusserungen gegenüber einem bestimmten Adressaten geschaffen. Allerdings gilt grundsätzlich das Gesetz. Nur unter ganz bestimmten Voraussetzungen vermag das Vertrauensschutzprinzip den Grundsatz der Gesetzmässigkeit zu verdrängen. Die allgemeinen Voraussetzungen dafür sind das Bestehen einer Vertrauensgrundlage, ferner die Vertrauensbetätigung, also dass der Bürger gestützt auf sein berechtigtes Vertrauen in die Vertrauensgrundlage Dispositionen getroffen oder unterlassen hat, weiter das Vorliegen eines Kausalzusammenhangs zwischen Vertrauensgrundlage und Vertrauensbetätigung und schliesslich, dass die Abwägung zwischen dem Interesse am Vertrauensschutz und den entgegenstehenden öffentlichen Interessen zugunsten des Vertrauensschutzes ausfällt (vgl. Häfelin/Müller/Uhlmann, a.a.O., N 627 ff.; Tschannen/Zimmerli/Müller, a.a.O., § 22 N 10 ff.).</w:t>
      </w:r>
    </w:p>
    <w:p>
      <w:r>
        <w:rPr>
          <w:b/>
        </w:rPr>
        <w:t>E. 4.2</w:t>
      </w:r>
    </w:p>
    <w:p>
      <w:r>
        <w:t>Im Licht dieser Voraussetzungen stellt sich vorab die Frage, ob eine Praxis als Vertrauensgrundlage herangezogen werden kann. Vertrauensgrundlagen müssen ausreichend individualisiert erscheinen. Die Form des staatlichen Verhaltens ist dabei unwesentlich. Nicht nur Tathandlungen, Verfügungen und Verträge können Vertrauensgrundlage stiften, sondern auch (freilich seltener) eine Rechtsnorm oder eine stehende Gerichtspraxis (Tschannen/Zimmerli/Müller, a.a.O., § 22 N 11). Präjudizien können u.U. eine Grundlage des Vertrauensschutzes bilden. Abgesehen von der ausnahmsweise als Vertrauenslage heranzuziehenden Gerichtspraxis, fragt sich, ob eine (behördliche) Praxis allgemein als Vertrauensgrundlage dienen kann. Für Verfahrensfragen wird dies in der Rechtsprechung bejaht, hingegen wird abgelehnt, dass eine Praxis in Anwendung des materiellen Rechts als Vertrauensgrundlage dienen kann (BGE 135 II 78 E. 3.2, 111 V 161 E. 5b, 103 Ib 197 E. 4; BGer-Urteile 1P.705/2004 vom 7.4.2005 E. 3.3, 4A_466/2007 vom 23.1.2008 E. 3.4; vgl. dazu Häfelin/Müller/Uhlmann, a.a.O., N 595 u. 638; Tschannen/Zimmerli/Müller, a.a.O., § 23 N 16). In der Lehre wird u.a. die Ansicht vertreten, dass der Vertrauensschutz auch auf Praxisänderungen im Zusammenhang mit materiell-rechtlichen Vorschriften auszudehnen ist, vorausgesetzt der betroffene Bürger kenne die alte Praxis. Gerechtfertigt sei die Anrufung des Vertrauensgrundsatzes vor allem dort, wo eine langjährige, gefestigte, unangefochtene – womöglich sogar mit der höchstrichterlichen Rechtsprechung vollständig in Einklang stehende – Praxis unvermittelt umgewandelt werde. Denn diesfalls müsse mit einer abrupten Änderung nicht gerechnet werden und es wäre stossend, einem Bürger bzw. Steuerpflichtigen die Berufung auf den Grundsatz von Treu und Glauben allein deshalb zu verweigern, weil er keine individuell-konkrete Auskunft bzw. Zusicherung oder ein entsprechendes einschlägiges Präjudiz vorweisen könne (Bärtschi, a.a.O., Ziff. 2.5.2.1; Weber-Dürler, Neuere Entwicklungen des Vertrauensschutz, in: ZBl 2002 S. 305; Stampe, a.a.O., S. 21 f. m.w.H. sowie S. 30). Im Unterschied zum Rückwirkungsverbot bei Praxisänderungen (vgl. E. 3.2.3) findet die alte Praxis, wenn das Vertrauen in deren Bestand ausnahmsweise der gesetzmässigen Rechtsanwendung vorgeht, nicht auf alle vor der Praxisänderung abgeschlossenen Sachverhalte Anwendung, sondern nur auf jene, bei denen, der Steuerpflichtige Dispositionen im Vertrauen auf diese Praxis getroffen hat (Reich/Uttinger, a.a.O., S. 177 f.).</w:t>
      </w:r>
    </w:p>
    <w:p>
      <w:r>
        <w:rPr>
          <w:b/>
        </w:rPr>
        <w:t>E. 4.3.1</w:t>
      </w:r>
    </w:p>
    <w:p>
      <w:r>
        <w:t>Es ist verwaltungs- und gerichtsnotorisch, dass der Wertzuwachsgewinn bei der Veräusserung unbebauter landwirtschaftlicher Grundstücke in der Bauzone im Kanton Luzern vor der Praxisänderung der Dienststelle Steuern, die auf dem Entscheid des Bundesgerichts vom 2. Dezember 2011 (BGE 138 II 32) gründet, (bis auf die wiedereingebrachten Abschreibungen) über die Grundstückgewinnsteuer besteuert wurde. Es bestand für den Kanton Luzern eine gefestigte, konstante Praxis in Anwendung von § 25 Abs. 4 StG und § 1 Abs. 2 Ziff. 1 GGStG. Indem die kommunale Veranlagungsbehörde dem Beschwerdegegner 2 jeweils die Formulare für die Grundstückgewinnsteuerveranlagung zukommen liess, lebte sie dieser Praxis nach. Eine besondere Erwartungshaltung begründete sie indes damit nicht, denn der Entscheid, dass der Wertzuwachsgewinn mit der einen oder anderen Steuer, d.h. mit der allgemeinen Einkommenssteuer oder mit der Spezialeinkommenssteuer (Grundstückgewinnsteuer) erfasst würde, war damit noch offen, musste der (Veranlagungs-)Entscheid darüber doch erst nach – und mitunter aufgrund – der Steuerdeklaration getroffen werden. Zu bedenken ist ausserdem, dass das systematische und planmässige Vorgehen des Beschwerdegegners 2, der sein Land einzonen liess, eine eigentliche Kalkulation erstellte und Verkaufspreise festlegte, die erhebliche Anzahl von Liegenschaftsverkäufen, deren Frequenz namentlich im Jahr 2011 und die Art und Weise, wie er sein Grundeigentum zu mobilisieren wusste, durchaus auch Anlass für eine Prüfung der Qualifikation als gewerbsmässigen Liegenschaftenhandel gegeben hätten. Das aber hätte auch unter der bisherigen Veranlagungspraxis zur integralen Erfassung der Gewinne mit der Einkommenssteuer führen müssen. Der Beschwerdegegner 2 macht – vereinfacht gesagt – geltend, er habe seine Grundstücke veräussert, im Vertrauen auf die Besteuerung nach der bisherigen Praxis. Damit wird die Disposition, nämlich der Verkauf der Liegenschaften, mit der Vertrauensgrundlage (bisherige Praxis) verknüpft. Eine andere Vertrauensgrundlage für die Verkäufe als Vertrauensbetätigung ist nicht ersichtlich; die ins Feld geführten hypothetischen Dispositionen zur Optimierung der Steuerfolgen, hätte der Beschwerdeführer die neue Praxis gekannt, können der Ermittlung des allfälligen Vertrauensschadens dienen. Indessen lässt sich dieser auch als Differenz zwischen den Steuerfolgen der bisherigen und der aktuellen Praxis beziffern. Da nun aber beachtliche Aspekte gegen eine vorbehaltlose Anwendung der früheren Praxis auf die 15 Liegenschaftsverkäufe sprechen, hätte er von vornherein nicht mit Sicherheit auf die Anwendung der früheren Besteuerungspraxis vertrauen dürfen und können; vielmehr bestand ein gewisser Klärungsbedarf im Veranlagungsverfahren, der je nachdem ohnehin zu denselben Folgen geführt hätte, wie sie nach der neuen Praxis greifen. Stand somit beim Beschwerdeführer nicht bloss die Anwendung der bisherigen Praxis in Aussicht, sondern hätte die Steuerbehörde deren Anwendbarkeit im konkreten Fall noch prüfen müssen, fehlt es an einer ausreichenden Festlegung auf die bisherige Veranlagungspraxis für den Beschwerdegegner 2, sodass sie für ihn nicht als Vertrauensgrundlage dienen kann. Im Ergebnis nimmt deshalb die Dienststelle Steuern zu Recht den Standpunkt ein, dem Legalitätsprinzip komme Vorrang zu und die gesetzmässige Veranlagung müsse im vorliegenden Fall wie für alle noch nicht rechtskräftigen Veranlagungen erfolgen.</w:t>
      </w:r>
    </w:p>
    <w:p>
      <w:r>
        <w:rPr>
          <w:b/>
        </w:rPr>
        <w:t>E. 4.3.2</w:t>
      </w:r>
    </w:p>
    <w:p>
      <w:r>
        <w:t>Ebenso wenig verfängt die Behauptung der Beschwerdegegner, die verfügten Akontozahlungen hätten den steuerpflichtigen Beschwerdegegner 2 darauf vertrauen lassen dürfen, dass die Besteuerung nach Massgabe der bisherigen Praxis erfolgen würde. Vorab ist festzuhalten, dass die angeblich vertrauensstiftenden Fakten nicht das Vertrauen in die tatbeständlichen Voraussetzungen der Besteuerung betreffen, sondern das Vertrauen in deren Folgen. Erfolgte der provisorische Bezug der Steuer als ob ein Grundstückgewinnsteuertatbestand erfüllt worden wäre, dann begründete dies gegebenenfalls Vertrauen in den Bestand des Bezugs, nicht aber in die Richtigkeit der noch offenen Veranlagung. Zwar erfolgten die als provisorische Grundstückgewinnsteuerverfügungen gestalteten Akonto-Bezüge nach Massgabe der bisherigen Praxis, indessen kann aus den damit geregelten Steuerbezügen weder eine stabile Grundlage bezüglich der masslichen Steuerfolgen noch eine Festlegung der anwendbaren Besteuerungsgrundlagen gefolgert werden, zumal die Verfügungen in allen wesentlichen Punkten auf deren provisorischen Charakter hinwiesen. Kommt hinzu, dass die Akontozahlungsverfügungen nach freiwilligen Zahlungen des Beschwerdegegners 2 erfolgten. Dass er dabei in der mutmasslichen Annahme handelte, dass er nicht als Liegenschaftshändler qualifiziert und die bisherige Praxis Anwendung finden würde, kann nicht mit einer besonderen, für ihn vertrauensbildenden Qualität der Praxis begründet werden. Auch für die freiwilligen Zahlungen im Vorfeld der Akonto-Rechnungen konnte der Beschwerdegegner 2 sich mangels einer diesbezüglichen Verlautbarung der zuständigen Behörde nicht auf die Anwendung der Praxis verlassen, sondern lediglich auf deren Anwendung hoffen.</w:t>
      </w:r>
    </w:p>
    <w:p>
      <w:r>
        <w:rPr>
          <w:b/>
        </w:rPr>
        <w:t>E. 4.3.3</w:t>
      </w:r>
    </w:p>
    <w:p>
      <w:r>
        <w:t>Selbst wenn die Bezugshandlungen eine taugliche Vertrauensgrundlage gebildet hätten (was nach dem Gesagten aber nicht zutrifft), vermöchte diese Beurteilung dem ausnahmsweisen Vorrang des Vertrauensschutzes gegenüber dem Gesetzmässigkeitsprinzip nicht zum Durchbruch zu verhelfen. Aus den Akten geht nämlich hervor, dass der Beschwerdegegner 2 jeweils bereits zeitlich vor den Akonto-Zahlungsverfügungen freiwillige Zahlungen leistete. Diese erfolgten insofern aufs Geratewohl, als dass die rechtliche Beurteilung und damit die Zuordnung zur Grundstückgewinnsteuer oder zur allgemeinen Einkommenssteuer auf jeden Fall erst nach Massgabe der noch zu vervollständigenden Veranlagungsakten erfolgten. Die Akonto-Zahlungsverfügungen konnten deshalb von vornherein weder Vertrauen auf den Bezug einer Grundstückgewinnsteuer, noch Vertrauen in die Anwendung der früheren Veranlagungspraxis begründen, welches für die geleisteten Zahlungen kausal gewesen wäre.</w:t>
      </w:r>
    </w:p>
    <w:p>
      <w:r>
        <w:rPr>
          <w:b/>
        </w:rPr>
        <w:t>E. 4.4.1</w:t>
      </w:r>
    </w:p>
    <w:p>
      <w:r>
        <w:t>Zu prüfen bleibt, ob der Beschwerdegegner 2 sich auf unrichtige Auskünfte oder Zusicherungen der zuständigen Behörde berufen könne. Nach dem Grundsatz von Treu und Glauben kann eine (selbst unrichtige) behördliche Auskunft, die dem Rechtsunterworfenen erteilt wird, unter gewissen Umständen Rechtswirkungen entfalten, wenn gewisse Voraussetzungen erfüllt sind (vgl. dazu: BGE 137 II 182 E. 3.6.2 m.w.H.; Tschentscher, a.a.O., Art. 9 BV N 16; Häfelin/Müller/Uhlmann, a.a.O., N 667 ff.; Tschannen/Zimmerli/Müller, a.a.O., § 22 N 15). Auf jeden Fall wird vorausgesetzt, dass eine vorbehaltlose Auskunft oder gar Zusicherung erfolgte. Weder die zugestellten Formulare zur Ermittlung der Grundstückgewinnsteuer noch die Akonto-Rechnungen für die Grundstückgewinnsteuer, welche nach freiwilligen Zahlungen des Beschwerdegegners 2 ergingen, können jedoch als solche vertrauensbegründenden Auskünfte oder gar Zusicherungen gelten.</w:t>
      </w:r>
    </w:p>
    <w:p>
      <w:r>
        <w:rPr>
          <w:b/>
        </w:rPr>
        <w:t>E. 4.4.2</w:t>
      </w:r>
    </w:p>
    <w:p>
      <w:r>
        <w:t>Die Steuererklärung ist in erster Linie eine Wissenserklärung der steuerpflichtigen Person. Zwar erfolgt die Zustellung der Formulare durch die Veranlagungsbehörde, indessen hat der Steuerpflichtige eine Steuererklärung auch ohne persönliche Aufforderung einzureichen. In Grundstückgewinnsteuersachen trifft das namentlich dann regelmässig ein, wenn kein Grundbucheintrag erfolgt (§ 26 Abs. 2 GGStG). Die Steuererklärung ist lediglich insofern eine Willenserklärung, als sie einen Antrag auf Veranlagung enthält (Richner/Frei/Kaufmann/Meuter, a.a.O., Art. 124 DBG N 2). In der Regel stellt die Steuerbehörde gestützt auf die Steuererklärung den für die Besteuerung massgeblichen Sachverhalt fest und wendet das Recht von Amts wegen an. Die Formularzustellung stellt dabei noch keine rechtliche Beurteilung des Steuersachverhalts geschweige denn eine Verfügung dar, sondern erlaubt dem Steuerpflichtigen allein, seiner Deklarations- und Formularpflicht nachzukommen. Allein aus dem im Grundstückgewinnsteuerverfahren nach Massgabe des Grundbucheintrags zugesandten Formular kann deshalb weder eine Auskunft noch eine Zusicherung hergeleitet werden. Ebenso wenig sind die unter Korrektur der freiwilligen Zahlungen des Beschwerdegegners 2 erfolgten Rechnungsstellungen für Akontozahlungen geeignet, die künftige Qualifikation des Steuersachverhalts im Veranlagungsverfahren zu präjudizieren. Vielmehr dienen diese allein dazu die Zahlung der Steuer im Bezugsverfahren zu sichern.</w:t>
      </w:r>
    </w:p>
    <w:p>
      <w:r>
        <w:rPr>
          <w:b/>
        </w:rPr>
        <w:t>E. 4.5</w:t>
      </w:r>
    </w:p>
    <w:p>
      <w:r>
        <w:t>Der Beschwerdegegner 2 macht gegen die sofortige Anwendung der Praxisänderung geltend, die Anwendung der als richtig erkannten neuen Praxis auf alle noch nicht veranlagten Fälle, führe zu einer Verletzung der Rechtsgleichheit, hänge es doch von sachfremden Zufälligkeiten ab, ob eine Steuerveranlagung vor oder nach einer Praxisänderung getroffen werde. Die Anwendung der neuen Praxis erfolge zudem willkürlich, sodass sie das Willkürverbot verletze.</w:t>
      </w:r>
    </w:p>
    <w:p>
      <w:r>
        <w:rPr>
          <w:b/>
        </w:rPr>
        <w:t>E. 4.5.1</w:t>
      </w:r>
    </w:p>
    <w:p>
      <w:r>
        <w:t>Der Grundsatz der Rechtsgleichheit gemäss Art. 8 Abs. 1 BV verlangt, dass Gleiches nach Massgabe seiner Gleichheit gleich, und Ungleiches nach Massgabe seiner Ungleichheit ungleich behandelt wird. Es geht mithin um eine relative Gleichbehandlung (BGE 138 I 225 E. 3.6.1). Gemäss Art. 9 BV hat sodann jede Person Anspruch darauf, von den staatlichen Organen ohne Willkür behandelt zu werden. Das Willkürverbot schützt den Bürger vor offensichtlich unhaltbaren Entscheiden. Im Gegensatz zum Gebot der rechtsgleichen Behandlung (vgl. hiernach) werden beim Willkürverbot nicht verschiedene Rechtsanwendungsakte miteinander verglichen, sondern es wird nur das Verhältnis zwischen dem angewandten Rechtssatz und dem betreffenden Anwendungsakt untersucht. Typischerweise liegt die Willkür beim Rechtsanwendungsakt darin, dass der Entscheid in offenem Widerspruch zur Rechtsnorm oder zum Sachverhalt steht (Häfelin/Müller/Uhlmann, a.a.O., N 605 ff.; Tschentscher, a.a.O., Art. 9 BV N 8). Wird eine Praxisänderung vorgenommen, weil – wie im vorliegenden Kontext – nach ernsthafter und gründlicher Abklärung erkannt wird, dass eine andere Auslegung einer Gesetzesbestimmung deren Inhalt besser wiedergibt als die bisherige Praxis, gebietet das Legalitätsprinzip, dass die Bestimmung unverzüglich richtig angewendet wird. Kann sich die Praxisänderung auf ernsthafte, sachliche und gewichtige Gründe stützen und erfolgt sie nicht im Sinn einer blossen momentanen Schwankung, sondern soll sie als zukünftig wegleitende Neuausrichtung für alle gleichartigen Fälle gelten, dann überwiegt das Interesse an der richtigen Rechtsanwendung dasjenige an der Rechtssicherheit, Rechtsgleichheit und dem Vertrauensschutz (vgl. Reich, a.a.O., § 4 N 113-115 m.H.).</w:t>
      </w:r>
    </w:p>
    <w:p>
      <w:r>
        <w:rPr>
          <w:b/>
        </w:rPr>
        <w:t>E. 4.5.2</w:t>
      </w:r>
    </w:p>
    <w:p>
      <w:r>
        <w:t>Zwar ist dem Beschwerdegegner 2 beizupflichten, wenn er rügt, dass es von Zufälligkeiten abhänge, ob eine Steuerveranlagung im Zeitpunkt der Praxisänderung bereits erfolgt sei oder nicht, aber der mit der Praxisänderung verursachte Konflikt mit dem verfassungsmässigen Gebot der Gleichbehandlung ist unvermeidbar und deshalb jedenfalls dann hinzunehmen, wenn die Behörde die Änderung der Gesetzesauslegung konsequent und ohne Schwanken umsetzt. Andernfalls bestünde u. U. ein Anspruch auf Gleichbehandlung im Unrecht (vgl. Häfelin/Müller/Uhlmann, a.a.O., N 599). Indem die Dienststelle Steuern nach Bekanntwerden der Praxisänderung alle offenen Fälle nicht mehr mit der Grundstückgewinnsteuer veranlagte, sondern sistierte, bis die neue Praxis definitiv festgelegt wurde, traf sie die erforderlichen Vorkehren, um kantonsweit eine einheitliche Veranlagungspraxis für alle im Zeitpunkt des Bundesgerichtsentscheids noch offenen Veranlagungen durchzusetzen. Daran ändert nichts, dass die Dienststelle Steuern bis zum definitiven Umsetzungsentscheid vom 28. Januar 2013 im Jahr 2012 bekannt machte, die bisherige Praxis würde unter dem Vorbehalt einer abweichenden Praxisfestlegung der Eidgenössischen Steuerverwaltung noch auf Rechtsgeschäfte bis 31. Dezember 2011 angewendet. Diese Ankündigung führte weder zu Ungleichbehandlungen im Kreis der noch nicht veranlagten Veräusserungen noch zu willkürlicher Anwendung bei der Besteuerung der Gewinne aus der Veräusserung von land- und forstwirtschaftlichen Grundstücken, waren doch die offenen Veranlagungen bis zur endgültigen Festlegung der kantonalen Handhabung sistiert.</w:t>
      </w:r>
    </w:p>
    <w:p>
      <w:r>
        <w:rPr>
          <w:b/>
        </w:rPr>
        <w:t>E. 4.6</w:t>
      </w:r>
    </w:p>
    <w:p>
      <w:r>
        <w:t>Der Beschwerdeführer wendet schliesslich ein, das Bundesgericht habe mit BGE 138 II 38 lediglich kantonales Recht, konkret aargauisches Recht, angewendet. Zum Bundesrecht habe sich das Bundesgericht aber nicht geäussert. Wenn die Verwaltung nun das Luzerner Recht auf dem Weg der Praxisänderung mit dem Bundesrecht harmonisieren wolle, dann könne dies nur für die Zukunft erfolgen. Eine rückwirkende vertikale Harmonisierung sei ausgeschlossen. Deshalb dürfe, sollte die Beschwerde gegen die Grundstückgewinnsteuerveranlagung gutgeheissen werden, auf den vorliegenden Fall keine Einkommenssteuer gemäss Bundesgesetz über die direkte Bundessteuer erhoben werden. Die Beschwerde betrifft eine Praxisänderung, die auf einer neuen Auslegung dessen, was unter dem Begriff der land- und forstwirtschaftlichen Grundstücke zu verstehen ist, mithin auf einer neuen Auslegung der gesetzlichen Bestimmung beruht. Sie beruht nicht auf einer neuen gesetzlichen Regelung, welche grundsätzlich nur für nicht in der Vergangenheit liegende Sachverhalte anwendbar ist. Wie bereits im Licht des Rückwirkungsverbots erwogen, ist eine neue bundesgerichtliche Auslegung einer unverändert in Kraft stehenden gesetzlichen Norm von den rechtsanwendenden Behörden grundsätzlich sofort auf alle im Zeitpunkt der Praxisänderung noch offenen Veranlagungen anwendbar. Da der Begriff des land- und forstwirtschaftlichen Grundstücks im kantonalen Recht und im Bundesrecht übereinstimmt (§ 25 Abs. 4 StG, Art. 18 Abs. 4 DBG), kommt es für die von den Behörden zu übernehmende neue Auslegung nicht darauf an, ob im vom Bundesgericht beurteilten Sachverhalt allein kantonales Recht betroffen war. Das gilt hier umso mehr, als das Bundesgericht ausdrücklich festhielt, dass die entsprechenden kantonalen Bestimmungen mit Art. 8 Abs. 1 bzw. Art. 12 Abs. 1 StHG sowie Art. 18 Abs. 2 und 4 DBG harmonierten (BGE 138 II 35 E. 2.1.1). Zu Recht weist der Beschwerdeführer zudem darauf hin, dass vorliegend allein die Grundstückgewinnsteuerveranlagungen Verfahrensgegenstand bildeten und die Einkommenssteuerfolgen für die direkte Bundessteuer erst noch im Veranlagungsverfahren festzusetzen sein werden.</w:t>
      </w:r>
    </w:p>
    <w:p>
      <w:r>
        <w:rPr>
          <w:b/>
        </w:rPr>
        <w:t>E. 5</w:t>
      </w:r>
    </w:p>
    <w:p>
      <w:r>
        <w:t>Wenn auch den Beschwerdegegnern zuzubilligen ist, dass die für das vorliegende Verfahren relevante Praxisänderung eine ähnliche Wirkung entfaltete wie eine rückwirkende Gesetzesänderung und durchaus Massnahmen denkbar gewesen wären, die dazu hätten beitragen können, den Grundsatz der Rechtssicherheit und – je nachdem im Einzelfall – denjenigen des Vertrauensschutzes zu gewährleisten, waren die Behörden dazu nicht verpflichtet. Aufgrund der Feststellungen und Erwägungen, greift die Schutzwirkung der Verfassungsgrundsätze gegen das Legalitätsprinzip im vorliegenden Fall nicht und dringt der Beschwerdeführer durch. Die Verwaltungsgerichtsbeschwerde ist demnach gutzuheissen.</w:t>
      </w:r>
    </w:p>
    <w:p>
      <w:r>
        <w:rPr>
          <w:b/>
        </w:rPr>
        <w:t>E. 6</w:t>
      </w:r>
    </w:p>
    <w:p>
      <w:r>
        <w:t>Der beschwerdeführende Kanton Luzern trägt keine amtlichen Kosten (§ 199 VRG). Der Beschwerdeführer hat sich durch die Dienststelle Steuern vertreten lassen, sodass eine Parteientschädigung von vornherein entfällt (§ 201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