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1 vom 5. Februar 2024</w:t>
      </w:r>
    </w:p>
    <w:p>
      <w:r>
        <w:t>JU Tribunal cantonal, 2024-02-05, DE</w:t>
      </w:r>
    </w:p>
    <w:p>
      <w:r>
        <w:rPr>
          <w:b/>
        </w:rPr>
        <w:t xml:space="preserve">Quelle: </w:t>
      </w:r>
      <w:r>
        <w:t>https://mcp.opencaselaw.ch/entscheid/ju_gerichte_CPR_2024_1</w:t>
      </w:r>
    </w:p>
    <w:p>
      <w:r>
        <w:t>FR: JU_GERICHTE CPR 2024 1 du 5 février 2024</w:t>
      </w:r>
    </w:p>
    <w:p>
      <w:r>
        <w:t>IT: JU_GERICHTE CPR 2024 1 del 5 febbraio 2024</w:t>
      </w:r>
    </w:p>
    <w:p>
      <w:pPr>
        <w:pStyle w:val="Heading2"/>
      </w:pPr>
      <w:r>
        <w:t>Regeste</w:t>
      </w:r>
    </w:p>
    <w:p>
      <w:r>
        <w:t>Recours - Conversion amende douanière | Recours c/ ordonnance du juge pénal</w:t>
      </w:r>
    </w:p>
    <w:p>
      <w:pPr>
        <w:pStyle w:val="Heading2"/>
      </w:pPr>
      <w:r>
        <w:t>Erwägungen</w:t>
      </w:r>
    </w:p>
    <w:p>
      <w:r>
        <w:rPr>
          <w:b/>
        </w:rPr>
        <w:t>E. 4</w:t>
      </w:r>
    </w:p>
    <w:p>
      <w:r>
        <w:t>Attendu, au cas d’espèce, que la procédure de recouvrement auprès de la recourante s’est soldée par la délivrance d‘un acte de défaut de biens, si bien que la condition du non- recouvrement est remplie ; Attendu, s’agissant de l'exception liée à l'impossibilité de payer soulevée par la recourante, qu’il sied de retenir que la situation personnelle et économique actuelle dont elle fait état apparaît en tous points similaires à celle qui prévalait lors du prononcé du mandat de répression du 13 avril 2021 ; il avait alors déjà été pris en considération que la recourante avait cessé l’exploitation de l’établissement public qu’elle gérait en raison de son état de santé ; sa situation n’a pas évolué depuis lors ; en tous les cas, la recourante n’allègue aucune circonstance qui permettrait de rendre ne serait-ce que vraisemblable une brusque détérioration, sans faute de sa part, de sa situation personnelle, postérieurement au prononcé dudit mandat de répression, demeuré sans opposition de sa part ; il ressort au contraire de sa prise de position du 16 août 2023 (p. 31) qu’elle n’a plus travaillé, à la suite de la fermeture du restaurant de B.________, à X.________, qu’elle gérait, ce qui atteste que sa situation économique est demeurée identique ; dans la mesure où sa situation, en particulier économique, était selon elle, à l’époque à laquelle le mandat de répression lui a été notifié, en disproportion avec la sanction prononcée, il appartenait alors à la recourante de former opposition pour se prévaloir de cet allégué ; il résulte dès lors de ces motifs, à l’instar de ceux retenus par la juge pénale, que cette exception ne peut être retenue au cas d’espèce ; Attendu qu’on relèvera encore que, contrairement à l’allégué de la recourante, la juge pénale ne s’est pas uniquement fondée sur l’avis du Tribunal pénal fédéral, mais également sur la doctrine en la matière à laquelle renvoient les jugements cités ; la recourante ne relève d’ailleurs aucun motif pertinent permettant de conclure que les références citées dans la décision attaquée seraient inapplicables au cas présent, le montant de l’amende à convertir n’étant au demeurant pas déterminant pour décider du principe même de la conversion ; enfin, au regard des critères légaux en la matière, une conversion de l’amende ne saurait être assimilée à une contrainte par corps, en l’espèce ; Attendu qu’il résulte de ce qui précède que c’est, à juste titre, que le premier juge a ordonné la conversion de l'amende en cause en une peine privative de liberté de 90 jours, conformément à la règle de conversion de l'art. 10 al. 3 DPA ; Attendu que, dans sa nouvelle teneur au 1er janvier 2020, l'art. 10 al. 2 DPA ne prévoit plus de sursis à l'exécution de la peine privative de liberté de substitution ; Attendu que, s’agissant du droit applicable, l’art. 388 CP prescrit que les jugements prononcés en application de l'ancien droit doivent être exécutés selon l'ancien droit (al. 1 CP par renvoi de l'art. 2 DPA) ; cela vaut également pour la procédure en conversion de l'amende (ordonnance SK.2020.44 précitée consid. 4.2 s. et réf.) ; Attendu que, contrairement à ce que soutient la recourante, il n’y a pas lieu d’appliquer en l’occurrence l'art. 10 al. 2 DPA dans sa teneur antérieure au 1er janvier 2020 ; l’art. 388 al. 1 CP vise en effet les « jugements prononcés » en application de l'ancien droit, étant précisé que la date d’entrée en force de chose jugée est sans pertinence (CR CP II-PAYCHERE, art. 388 CP N 1) ; au cas présent, le mandat de répression du 13 avril 2021 étant postérieur à la date</w:t>
      </w:r>
    </w:p>
    <w:p>
      <w:r>
        <w:rPr>
          <w:b/>
        </w:rPr>
        <w:t>E. 5</w:t>
      </w:r>
    </w:p>
    <w:p>
      <w:r>
        <w:t>d’entrée en vigueur de l’art. 10 al. 2 DPA, dans sa teneur actuelle, la peine privative de liberté issue de la conversion d’une peine pécuniaire impayée ne peut pas être assortie du sursis ou du sursis partiel (CR CP I-JEANNERET, art. 36 N 6 et réf.) ; Attendu, enfin, que la proposition faite par la recourante, à titre très subsidiaire, de s'acquitter d'un montant de CHF 2'700.- (90 jours à CHF 30.-), pour solde de compte, respectivement en remplacement de la peine privative de liberté, relève de la compétence de l’autorité d’exécution ; Attendu que le recours doit en conséquence être rejeté, les frais étant mis à la charge de la recourante qui succombe (art. 428 al. 1 CPP ; art. 97 al. 1 DPA) ; il n’est pas alloué de dépens ;</w:t>
      </w:r>
    </w:p>
    <w:p>
      <w:r>
        <w:rPr>
          <w:b/>
        </w:rPr>
        <w:t>E. 6</w:t>
      </w:r>
    </w:p>
    <w:p>
      <w:r>
        <w:t>PAR CES MOTIFS LA CHAMBRE PÉNALE DES RECOURS rejette le recours ; met les frais de la présente procédure de recours, par CHF 500.-, à la charge de la recourante ; dit qu’il n’est pas alloué de dépens ; informe les parties des voie et délai de recours selon avis ci-après ; ordonne la notification de la présente décision : à la recourante ; à la juge pénale du Tribunal de première instance, Marjorie Noirat, Le Château, 2900 Porrentruy ; à l’Office fédéral de la douane et de la sécurité des frontières, poursuites pénales, décisions pénales, Taubenstrasse 16, 3003 Berne. Porrentruy, le 5 février 2024 AU NOM DE LA CHAMBRE PENALE DES RECOURS: Le président : La greffière : Daniel Logos Lisiane Poupon</w:t>
      </w:r>
    </w:p>
    <w:p>
      <w:r>
        <w:rPr>
          <w:b/>
        </w:rPr>
        <w:t>E. 7</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