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66 vom 29. September 2023</w:t>
      </w:r>
    </w:p>
    <w:p>
      <w:r>
        <w:t>JU Tribunal cantonal, 2023-09-29, DE</w:t>
      </w:r>
    </w:p>
    <w:p>
      <w:r>
        <w:rPr>
          <w:b/>
        </w:rPr>
        <w:t xml:space="preserve">Quelle: </w:t>
      </w:r>
      <w:r>
        <w:t>https://mcp.opencaselaw.ch/entscheid/ju_gerichte_CPR_2023_66</w:t>
      </w:r>
    </w:p>
    <w:p>
      <w:r>
        <w:t>FR: JU_GERICHTE CPR 2023 66 du 29 septembre 2023</w:t>
      </w:r>
    </w:p>
    <w:p>
      <w:r>
        <w:t>IT: JU_GERICHTE CPR 2023 66 del 29 settembre 2023</w:t>
      </w:r>
    </w:p>
    <w:p>
      <w:pPr>
        <w:pStyle w:val="Heading2"/>
      </w:pPr>
      <w:r>
        <w:t>Regeste</w:t>
      </w:r>
    </w:p>
    <w:p>
      <w:r>
        <w:t>CPP 227 al. 7 - Prolongation détention provisoire - Collusion - Réitération - LStup | Détention</w:t>
      </w:r>
    </w:p>
    <w:p>
      <w:pPr>
        <w:pStyle w:val="Heading2"/>
      </w:pPr>
      <w:r>
        <w:t>Erwägungen</w:t>
      </w:r>
    </w:p>
    <w:p>
      <w:r>
        <w:rPr>
          <w:b/>
        </w:rPr>
        <w:t>E. 2</w:t>
      </w:r>
    </w:p>
    <w:p>
      <w:r>
        <w:t>infractions commises dans des circonstances de fait, de temps et de lieu restant à déterminer et notamment constatées le 11 juin 2023, à V.________ (B.1 s.) ; Vu le procès-verbal d’audition du recourant du 11 juin 2023 ; il a déclaré que tous les stupéfiants saisis sont pour sa propre consommation ; il achète ses stupéfiants à W.________, à chaque fois à une personne différente ; il partage les stupéfiants avec ses amis, dont il ne veut toutefois pas divulguer le nom ; il a recommencé à consommer des stupéfiants depuis qu’il se trouve au chômage, soit environ trois mois auparavant ; il a payé mensuellement CHF 600.- à CHF 700.- pour sa consommation personnelle (A.2.14 ss) ; Vu les auditions effectuées par la police, les 10, 11 juillet et 25 août 2023, dont il ressort que les personnes suivantes ont déclaré avoir obtenu ou acquis des stupéfiants auprès du recourant, soit B.________, au total 8 g de crystal ; C.________, du cannabis, à une dizaine de reprises ; D.________, environ 20 g au total de cocaïne, acquis en mai-juin 2023 auprès d’un tiers mis en relation par l’intermédiaire du recourant, notamment au domicile de ce dernier ; le recourant lui avait en outre donné un demi-gramme de cocaïne pour la tester ; E.________, 18 g au total d’amphétamine (speed), vendu entre CHF 15.- et CHF 20.- le g, en 2019 ; F.________, « beaucoup » de crystal meth et de cocaïne pendant 4 à 5 ans jusqu’au début 2023, soit au total environ 220 g de crystal meth à CHF 150.- à CHF 200.- le g, 5 g de cocaïne, 20 à 30 g de speed, vendus entre CHF 15.- et CHF 20.- le g, 20 à 25 ecstasy, à CHF</w:t>
      </w:r>
    </w:p>
    <w:p>
      <w:r>
        <w:rPr>
          <w:b/>
        </w:rPr>
        <w:t>E. 5</w:t>
      </w:r>
    </w:p>
    <w:p>
      <w:r>
        <w:t>Attendu que le recours a été introduit dans les forme et délai légaux (385 al. 1 et 396 al. 1 CPP) et que le prévenu a manifestement qualité pour recourir (art. 222 CPP), si bien qu’il convient d'entrer en matière sur le recours ; Attendu que l'art. 227 al. 7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le recourant est prévenu au cas présent d’infractions graves à la LStup ; à cet égard, il sied de rappeler que l'existence d'un cas aggravé au sens de l'art. 19 al. 2 let. a LStup doit être appréciée au regard de la mise en danger, directe ou indirecte, de la santé de nombreuses personnes ; la quantité de stupéfiants en cause constitue à cet égard un élément central d'appréciation, même si d'autres critères sont également susceptibles d'être pris en considération, tels les risques liés à une drogue particulièrement pure ou à un mélange dangereux ; dans ce contexte, dès lors que les quantités limites tiennent compte du danger potentiel que ces substances occasionnent des atteintes durables à la santé résultant d'une</w:t>
      </w:r>
    </w:p>
    <w:p>
      <w:r>
        <w:rPr>
          <w:b/>
        </w:rPr>
        <w:t>E. 6</w:t>
      </w:r>
    </w:p>
    <w:p>
      <w:r>
        <w:t>consommation régulière, dites quantités fixées par la jurisprudence sous l'empire de l'ancien art. 19 al. 2 let. a Lstup demeurent pertinentes, en particulier s'agissant de l'héroïne (12 g), de la cocaïne (18 g), du LSD (200 trips) et de l'amphétamine (36 g) ; s’agissant de la méthamphétamine sous forme de chlorhydrate, il n'est pas contraire au droit fédéral, pour retenir l'existence d'un cas aggravé au sens de l'art. 19 al. 2 let. a LStup, de se référer à l'étude réalisée en 2010 par la Société suisse de médecine légale, qui recommande de fixer ce seuil à 12 g de substance pure (ATF 145 IV 312) ; Attendu que le recourant ne conteste pas, à juste titre, l’existence de charges suffisantes à son encontre ; il peut ici être renvoyé aux motifs de la décision attaquée, étant en outre relevé qu’il existe au cas d’espèce de sérieux soupçons concrets que le recourant s’est livré à un trafic de stupéfiant susceptible de constituer le cas grave de l’art. 19 al. 2 LStup ; il résulte en effet déjà des quantités de stupéfiants saisies au domicile du recourant et des auditions intervenues, en particulier celle de F.________, suffisamment d’indices pertinents permettant de conclure à l’existence de sérieux soupçons que le recourant s’est livré à un trafic de stupéfiants susceptible, sous réserve de la détermination du taux de pureté de ces dernières résultant des analyses en cours, de réaliser le cas grave au sens de l’art. 19 al. 2 LStup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(art. 221 al. 1 let. b CPP) ;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 en tant que motif de détention avant jugement, le danger de collusion vise à empêcher le prévenu de mettre en danger la recherche de la vérité ;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1B_210/2023 du 12 mai 2023 consid. 4.1 et réf.) ; Attendu que le recourant conteste l’existence d’un risque de collusion le concernant, aux motifs qu’il a collaboré durant l’enquête ouverte depuis plus de deux ans, contrairement à l’avis du premier juge ; par ailleurs, toutes les personnes de son entourage ont évidemment été au courant de son arrestation ; il n’existe au dossier aucun début de preuve qui pourrait démontrer qu’il pourrait tenter d'influencer certaines personnes ou compromettre la recherche de la</w:t>
      </w:r>
    </w:p>
    <w:p>
      <w:r>
        <w:rPr>
          <w:b/>
        </w:rPr>
        <w:t>E. 7</w:t>
      </w:r>
    </w:p>
    <w:p>
      <w:r>
        <w:t>vérité ; de plus, à ce stade, aucune audition n'est prévue ; les analyses de drogues ont été effectuées, l'audition de plus de 7 personnes a été effectuée, le contenu de ses appareils informatiques a été extrait depuis début juillet 2023 et un rapport de police y relatif a été établi par la police judiciaire, le 1er juillet 2023 ; l’extraction des données, qui devait encore être réalisée, ne justifie pas une prolongation de la détention ; il n’est en outre pas suffisant d’alléguer vaguement que d’autres personnes doivent être entendues, pour justifier une prolongation de la détention provisoire ; aucune date n'a été indiquée par le Procureur et aucun nom n’est cité ; en réalité, l’instruction étant ouverte depuis plus de deux ans, tous les actes d'instruction ont été faits ; Attendu que, contrairement aux allégués du recourant, une instruction a certes été ouverte à son encontre depuis juin 2021 aux fins de mettre en œuvre des mesures de surveillance ; dite instruction n’a cependant réellement débuté qu’en juin 2023 ; en une si courte durée, il est évident que le Ministère public n’a pas pu mener tous les actes d'instruction nécessaires à la manifestation de la vérité, ceci d’autant plus que, contrairement également à ce qu’il allègue, le recourant n’a pas réellement collaboré durant l’enquête, n’ayant divulgué, qu’une fois mis devant l’évidence des indices recueillis, l’identité que de trois personnes auxquelles il aurait donné ou vendu des stupéfiants ; le fait que le Ministère public se limite à relever que plusieurs autres personnes devront être entendues, sans préciser leur identité, ne permet au demeurant pas de nier tout risque de collusion, étant rappelé que l’identité des personnes mentionnées dans le carnet saisi chez le recourant (G.2.53) n’a pas encore été établie et que l’instruction devra à l’évidence se poursuivre notamment sur ce point pour tenter d’identifier les personnes en cause et la nature des stupéfiants acquis par ces dernières ; en outre, le recourant privilégiait l’utilisation des réseaux sociaux pour communiquer (H.1.35), si bien qu’il devra encore être entendu, ainsi que relevé par le Ministère public, à la suite de l’analyse en cours de son téléphone et de sa tablette, sur les faits résultant de cette analyse ; celle-ci permettra, le cas échéant, d’établir l’identité d’éventuels acquéreurs de stupéfiants, ce qui nécessitera encore leur audition ; Attendu qu’il résulte de ces motifs que de possibles autres consommateurs ainsi que d’éventuels fournisseurs du recourant n’ont pas encore été identifiés ni dès lors entendus, de sorte qu’il doit être admis qu’un risque de collusion perdure ; l’existence d’un risque concret de collusion doit partant être retenue, dès lors, que le recourant pourrait sans difficulté prendre contact avec les éventuels intervenants devant encore être identifiés afin d’influer sur leurs déclarations ; Attendu que le recourant conteste également l’existence d’un risque de réitération pour les motifs suivants ; les infractions objets de ses condamnations inscrites à son casier judiciaire n’ont aucun lien avec les infractions reprochées dans la présente instruction, la seule condamnation en rapport avec des produits stupéfiants étant une contravention et ayant par ailleurs été essentiellement condamné pour des infractions à la LCR ; il n’y a pas deux instructions ouvertes à son encontre, les deux ordonnances d’ouverture concernant les mêmes faits et les mêmes infractions ; il vit extrêmement mal sa détention et a « compris la leçon » ; antérieurement à ses activités délictueuses, il a d’ailleurs travaillé dans la région ;</w:t>
      </w:r>
    </w:p>
    <w:p>
      <w:r>
        <w:rPr>
          <w:b/>
        </w:rPr>
        <w:t>E. 8</w:t>
      </w:r>
    </w:p>
    <w:p>
      <w:r>
        <w:t>Attendu que ce motif de détention prévu par la loi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au cas présent, ainsi que déjà relevé dans l’ordonnance attaquée, qu’il résulte du casier judiciaire du recourant qu’il a déjà été condamné à six reprises, depuis 2016, à des peines prononcées sans sursis, ce qui ne l’a pas dissuadé de réitérer des infractions en matière de trafic de stupéfiants, certainement, en partie tout au moins, pour s’assurer un moyen lui permettant, compte tenu de sa mauvaise situation économique, d’acquérir les revenus nécessaires pour se procurer des stupéfiants ; on rappellera à ce propos que le risque de récidive peut également se fonder sur les infractions faisant l'objet de la procédure pénale</w:t>
      </w:r>
    </w:p>
    <w:p>
      <w:r>
        <w:rPr>
          <w:b/>
        </w:rPr>
        <w:t>E. 9</w:t>
      </w:r>
    </w:p>
    <w:p>
      <w:r>
        <w:t>en cours, si le prévenu est fortement soupçonné - avec une probabilité confinant à la certitude - de les avoir commises, ce qui apparaît être le cas en l’occurrence, au vu des faits déjà recueillis ; il ressort par ailleurs du dossier que le recourant a admis avoir triché avec ses urines durant sa période de probation (E.2.8), ce qui tend à démontrer que sa dépendance aux stupéfiants persiste ; il en résulte que les seuls allégués du recourant aux termes desquels il aurait « compris la leçon » ne sauraient permettre de poser un pronostic favorable concernant son comportement futur à l’égard des produits stupéfiants ; au contraire, étant sans travail, il résulte des faits recueillis qu’il ne paraît pas pouvoir se sortir, sans autre mesure, de sa dépendance aux stupéfiants ; l’activité délictueuse du recourant apparaît par ailleurs avoir revêtu une certaine intensité durant plusieurs années, ce que dénote notamment le fait qu’il achetait en particulier du speed « en gros » (E.2.5), transaction nécessitant des moyens financiers non négligeables, que le seul revenu de son travail ne permettait pas au recourant d’obtenir ; il en résulte qu’il est fortement à craindre qu’en cas de mise en liberté, ce dernier s’adonne à nouveau à un trafic de stupéfiants pour assouvir son addiction ; Attendu qu’il résulte de ces motifs qu’un pronostic favorable en matière de trafic de stupéfiants, susceptible de porter une atteinte grave à la santé d’autrui, ne peut être posé, si bien que le risque de réitération justifie en soi également la poursuite de la détention provisoire du recourant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allègue qu’en tout état de cause, la prolongation de la détention ordonnée est disproportionnée ; des mesures de substitution auraient pu être ordonnées pour pallier tout risque de collusion et de récidive ; il est d'accord d’entreprendre un suivi médical pour lequel des démarches seront entreprises en ce sens, dès sa libération ; au surplus, une interdiction de se rendre à certains lieux, assortie d’une interdiction de commettre de nouvelles infractions constituent des mesures permettant de pallier tout risque ; Attendu qu’il sied de relever à cet égard que le recourant disposait, quelques mois avant son arrestation, d’un travail, ce qui ne paraît pas l’avoir dissuadé de poursuivre son activité délictueuse, si bien qu’une obligation de bénéficier d’un contrat de travail ne constitue pas une mesure suffisante pour écarter tout risque de récidive ou encore, évidemment, le risque de collusion retenu ; une interdiction de se rendre en certains lieux ne suffit également pas pour</w:t>
      </w:r>
    </w:p>
    <w:p>
      <w:r>
        <w:rPr>
          <w:b/>
        </w:rPr>
        <w:t>E. 10</w:t>
      </w:r>
    </w:p>
    <w:p>
      <w:r>
        <w:t>éviter les risques en cause ; quant aux autres mesures de substitution susceptibles d’être ordonnées (interdiction de consommer des stupéfiants, de commettre de nouvelles infractions), elles dépendent du seul engagement de les suivre pris par le recourant, ce qui apparaît insuffisant en l’état pour pallier tout risque de récidive, compte tenu notamment de l’addiction du recourant aux produits stupéfiants ; des prises de sang régulières, au titre de mesure de substitution, seraient certes susceptibles d’établir l’abstinence du recourant à un instant donné, mais elles n’écartent cependant pas tout risque de reprise d’un trafic de stupéfiants ; enfin, rien ne permet actuellement d'affirmer que la mise en œuvre d’un suivi médical aurait un effet suffisamment dissuasif, étant encore rappelé que le recourant a triché avec ses urines dans le passé, durant a probation ; Attendu, au vu de ces motifs, qu’en l’état de la procédure, il doit être admis qu’aucune mesure de substitution ne permettrait de pallier les risques redoutés retenus de récidive et de collusion ; Attendu que la durée de la détention déjà subie, soit moins de 4 mois, demeure en tout point conforme aux exigences posées par les art. 31 al. 3 Cst., 5 par. 3 CEDH et 212 al. 3 CPP, au regard de la durée probable de la peine privative de liberté à laquelle il faut s’attendre, en cas de condamnation du recourant pour infraction grave à la LStup, réprimée d’une peine privative de liberté d’une année au moins ; Attendu, au vu de ces motifs, que le recours doit en conséquence être rejeté ; Attendu que les frais de la procédure de recours sont mis à la charge du recourant qui succombe (art. 428 CPP), sans indemnité de dépens, sous réserve des dispositions relatives à la défense d’office pour la présente procédure, dont les conditions sont réalisées ; Attendu que l'indemnité à laquelle la mandataire d'office peut prétendre est taxée conformément à l'ordonnance fixant le tarif des honoraires d'avocat (RSJU 188.61), au vu du dossier et de la note d’honoraires produite (art. 5 al. 1) ; le remboursement à l'Etat de l'indemnité allouée au mandataire d’office ne sera exigible que lorsque la situation économique du recourant le permettra ; PAR CES MOTIFS LA CHAMBRE PÉNALE DES RECOURS met le recourant au bénéfice d’une défense d’office pour la présente procédure de recours, Me Charles Poupon étant désignée défenseur d’office ; pour le surplus, rejette le recours ;</w:t>
      </w:r>
    </w:p>
    <w:p>
      <w:r>
        <w:rPr>
          <w:b/>
        </w:rPr>
        <w:t>E. 11</w:t>
      </w:r>
    </w:p>
    <w:p>
      <w:r>
        <w:t>met les frais de la présente procédure fixés au total à CHF 1’545.55 (comprenant l’émolument et les débours par CHF 700.-, ainsi que l'indemnité versée au défenseur d'office par CHF 845.55 ) à la charge du recourant ; taxe comme il suit les honoraires que Me Charles Poupon pourra réclamer à l'Etat en sa qualité de défenseur d'office du recourant pour la présente procédure de recours : - Honoraires CHF 753.30 - Débours CHF 31.80 - TVA CHF 60.45 - Total à verser par l’Etat : CHF 845.55 dit que le recourant est tenu de rembourser, si sa situation financière le permet, d'une part, à la République et Canton de Jura, l'indemnité allouée pour ses frais de défense d'office tels que taxés ci-dessus, et d'autre part, à Me Charles Poupon, la différence entre cette indemnité et les honoraires que celui-ci aurait touchés comme mandataire privé, pour la présente procédure de recours ; informe les parties des voies et délais de recours selon avis ci-après ; ordonne la notification de la présente décision :  au recourant, actuellement détenu à la prison de U.________ ;  au recourant, par son mandataire, Me Charles Poupon, avocat à Delémont ;  au Ministère public, par Laurent Crevoisier, procureur, Le Château, 2900 Porrentruy, avec une copie de la prise de position de Me Poupon du 26 septembre 2023 ;  au juge des mesures de contrainte, Thomas Schaller, Le Château, 2900 Porrentruy. Porrentruy, le 29 septembre 2023 AU NOM DE LA CHAMBRE PÉNALE DES RECOURS Le président : La greffière e.r. : Daniel Logos Mélanie Farine</w:t>
      </w:r>
    </w:p>
    <w:p>
      <w:r>
        <w:rPr>
          <w:b/>
        </w:rPr>
        <w:t>E. 12</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