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139 vom 16. Januar 2023</w:t>
      </w:r>
    </w:p>
    <w:p>
      <w:r>
        <w:t>JU Tribunal cantonal, 2023-01-16, DE</w:t>
      </w:r>
    </w:p>
    <w:p>
      <w:r>
        <w:rPr>
          <w:b/>
        </w:rPr>
        <w:t xml:space="preserve">Quelle: </w:t>
      </w:r>
      <w:r>
        <w:t>https://mcp.opencaselaw.ch/entscheid/ju_gerichte_CPR_2022_139</w:t>
      </w:r>
    </w:p>
    <w:p>
      <w:r>
        <w:t>FR: JU_GERICHTE CPR 2022 139 du 16 janvier 2023</w:t>
      </w:r>
    </w:p>
    <w:p>
      <w:r>
        <w:t>IT: JU_GERICHTE CPR 2022 139 del 16 gennaio 2023</w:t>
      </w:r>
    </w:p>
    <w:p>
      <w:pPr>
        <w:pStyle w:val="Heading2"/>
      </w:pPr>
      <w:r>
        <w:t>Regeste</w:t>
      </w:r>
    </w:p>
    <w:p>
      <w:r>
        <w:t>Irrecevabilité faute de décision attaquable | Séquestre (264 al. 3 CP)</w:t>
      </w:r>
    </w:p>
    <w:p>
      <w:pPr>
        <w:pStyle w:val="Heading2"/>
      </w:pPr>
      <w:r>
        <w:t>Erwägungen</w:t>
      </w:r>
    </w:p>
    <w:p>
      <w:r>
        <w:rPr>
          <w:b/>
        </w:rPr>
        <w:t>E. 4</w:t>
      </w:r>
    </w:p>
    <w:p>
      <w:r>
        <w:t>de leasing, par l’ordonnance du 30 novembre 2022 ; de la sorte, le recourant était parfaitement au courant de la décision du Ministère public ; il ne saurait raisonnablement soutenir que la procureure n’a pas répondu suffisamment clairement à ses requêtes, respectivement qu’aucune suite n’a été donné notamment à son courrier du 15 novembre 2022 (cf. not. courrier du 1er décembre 2022, rubr. H) ; l’ordonnance du 30 novembre 2022 ne peut raisonnablement pas être interprétée autrement que comme une décision de refus opposée aux requêtes du recourant en levée du séquestre en sa faveur ; Attendu, pour le surplus, que le recourant ne saurait également raisonnablement soutenir être demeuré dans l’ignorance des motifs ayant justifié l’ordonnance du 30 novembre 2022, celle- ci fait en effet expressément référence à l’instruction ouverte à son encontre, en particulier pour infraction aux art. 90 al. 3 et 4 LCR ; le recourant, déjà entendu durant l’instruction, connaissait ainsi parfaitement la prévention retenue à son encontre, à savoir d’avoir circulé avec le véhicule … (marque) concerné à une vitesse au compteur de 210 km/h, infraction susceptible de justifier le séquestre du véhicule utilisé lors de l’infraction, ce dont le recourant était parfaitement informé (cf. not. art. 5 du mémoire de recours) ; Attendu qu’il résulte de ses motifs que le recours doit être déclaré irrecevable, faute de décision attaquable, étant rappelé que le recourant a été en mesure de faire valoir ses droits dans le cadre de la procédure de recours formé à l’encontre de l’ordonnance du 30 novembre 2022 (dossier CPR 140/2022) ; les requêtes de mesures provisionnelles et de jonction, respectivement de suspension de la présente procédure, deviennent dès lors sans objet ; Attendu que le recourant conclut à ce qu’il soit constaté qu’il bénéficie d’une défense d’office ; dite conclusion doit être considéré comme une requête tendant à bénéficier de la défense d’office pour la présente procédure ; s’agissant d’une procédure de recours initiée par le prévenu, le droit à l'assistance d'un conseil d'office peut en effet être subordonné à l'exigence de chances de succès (not. TF 6B_705/2015 du 22 septembre 2015 consid. 2), de sorte qu’une nouvelle requête à cette fin est nécessaire (cf. ég. TF 1B_80/2019 du 26 juin 2019, résumé in forumpoenale 3/2020 p. 170) ; Attendu, au vu de ce qui précède et de l’inconsistance des motifs exposés à l’appui du recours, que la requête du recourant en désignation d’un défenseur d’office pour la présente procédure doit être rejetée, faute de chance de succès manifeste ; Attendu que les frais de la présente procédure de recours sont mis à la charge du recourant qui succombe (article 428 al. 1 CPP), sans indemnité ;</w:t>
      </w:r>
    </w:p>
    <w:p>
      <w:r>
        <w:rPr>
          <w:b/>
        </w:rPr>
        <w:t>E. 5</w:t>
      </w:r>
    </w:p>
    <w:p>
      <w:r>
        <w:t>PAR CES MOTIFS LA CHAMBRE PÉNALE DES RECOURS déclare irrecevable le recours formé à l’encontre de la décision du Ministère public du 22 novembre 2022 ; pour le surplus, rejette la requête en désignation d’un défenseur d’office ; constate que les requêtes de mesures provisionnelles et de jonction, respectivement de suspension de la présente procédure sont devenues sans objet ; met les frais de la présente procédure, par CHF 200.-, à charge du recourant ; informe les parties des voie et délai de recours selon avis ci-après ; ordonne la notification de la présente décision au recourant et au Ministère public. Porrentruy, le 16 janvier 2023 AU NOM DE LA CHAMBRE PÉNALE DES RECOURS Le président : La greffière : Daniel Logos Lisiane Poupon</w:t>
      </w:r>
    </w:p>
    <w:p>
      <w:r>
        <w:rPr>
          <w:b/>
        </w:rPr>
        <w:t>E. 6</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