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101 vom 7. September 2022</w:t>
      </w:r>
    </w:p>
    <w:p>
      <w:r>
        <w:t>JU Tribunal cantonal, 2022-09-07, DE</w:t>
      </w:r>
    </w:p>
    <w:p>
      <w:r>
        <w:rPr>
          <w:b/>
        </w:rPr>
        <w:t xml:space="preserve">Quelle: </w:t>
      </w:r>
      <w:r>
        <w:t>https://mcp.opencaselaw.ch/entscheid/ju_gerichte_CPR_2022_101</w:t>
      </w:r>
    </w:p>
    <w:p>
      <w:r>
        <w:t>FR: JU_GERICHTE CPR 2022 101 du 7 septembre 2022</w:t>
      </w:r>
    </w:p>
    <w:p>
      <w:r>
        <w:t>IT: JU_GERICHTE CPR 2022 101 del 7 settembre 2022</w:t>
      </w:r>
    </w:p>
    <w:p>
      <w:pPr>
        <w:pStyle w:val="Heading2"/>
      </w:pPr>
      <w:r>
        <w:t>Regeste</w:t>
      </w:r>
    </w:p>
    <w:p>
      <w:r>
        <w:t>CPP 227 - Violences conjugales - Faute - Récidive | Détention</w:t>
      </w:r>
    </w:p>
    <w:p>
      <w:pPr>
        <w:pStyle w:val="Heading2"/>
      </w:pPr>
      <w:r>
        <w:t>Erwägungen</w:t>
      </w:r>
    </w:p>
    <w:p>
      <w:r>
        <w:rPr>
          <w:b/>
        </w:rPr>
        <w:t>E. 2</w:t>
      </w:r>
    </w:p>
    <w:p>
      <w:r>
        <w:t>sol, en la poussant, en lui mettant de violents coups de pieds, en lui frappant la tête à coup de poing, lui avoir tiré les cheveux, avoir mis un couteau de cuisine sous le cou de son épouse, en particulier, d'avoir mis la pointe dudit couteau directement contre sa gorge, avoir traité son épouse de « salope » et lui avoir dit qu'elle ne valait rien, avoir affirmé à la police qu'elle avait entretenu des relations extra-conjugales, avoir menacé la plaignante de divulguer à des tiers des images d'elle compromettantes si elle venait à le quitter, avoir menacé de la faire souffrir en tuant le père et les frères de la plaignante, infractions commises en Suisse, au préjudice de la plaignante en 2021 et 2022 (rubrique B) ; Vu l’ordonnance du 10 mai 2022 d’extension des poursuites à l’encontre du prévenu à la prévention de viol par le fait d'avoir entretenu une relation sexuelle complète avec la victime alors qu'elle n'en avait vraiment pas envie, qu'elle pleurait déjà avant le rapport en question et qu'il ne pouvait ignorer sa réprobation à l'égard de l'acte sexuel ; en particulier, avoir pénétré avec son pénis le vagin de la plaignante qui s'est mise à pleurer d'autant plus ; d'avoir dit à la victime, durant le rapport, d'arrêter de pleurer, qu'elle faisait la comédie, qu'elle aimait ça et qu'il avait bientôt fini ; alors que la plaignante lui disait « non » à plusieurs reprises, qu'elle lui disait « pousse-toi, je n'ai pas envie » et qu'elle le repoussait avec ses bras, être passé outre son refus ; d'avoir également tenu les mains de la plaignante qui le repoussait et maintenu ses poignets ; d'avoir été sur elle, en la maintenant physiquement, au point qu'elle ne pouvait s'extraire de cette situation ; d'avoir finalement éjaculé sans préservatif ; infraction commise dans le Jura, en 2021 ou 2022, au préjudice de la plaignante (rubrique B) ; Vu les procès-verbaux d’audition par la police du 24 avril 2022 de la plaignante et du prévenu ; du 16 mai 2022, de C.________, employeur de la plaignante ; du 21 juin 2022, de D.________, ancien collègue de travail de la plaignante et de E.________, collègue de travail de la plaignante ; les procès-verbaux d’audition par le Ministère public des 25 avril et 31 août 2022, du prévenu ; du 9 mai 2022, de la plaignante, de F.________, père de cette dernière, de G.________, frère de la plaignante et du 11 juillet 2022, de H.________, père du prévenu (rubrique C) ; Vu les renseignements médicaux recueillis concernant le prévenu et la plaignante (rubrique G) ; Vu la requête de mise en détention provisoire du recourant du 26 avril 2022 (rubrique F) ; Vu l’ordonnance du juge des mesures de contrainte du 28 avril 2022 ordonnant la mise en détention provisoire du recourant jusqu’au 15 mai 2022 (rubrique F) ; Vu la requête de prolongation de la détention provisoire du Ministère public du 10 mai 2022 et l’ordonnance du 20 mai 2022 du juge des mesures de contrainte prolongeant la détention provisoire pour une durée de trois mois, soit jusqu’au 15 août 2022 (rubrique F) ; Vu l’ordonnance du juge des mesures de contrainte du 17 août 2022, rendue à la suite de la nouvelle demande du Ministère public du 10 août 2022, prolongeant la détention provisoire du recourant pour une durée de trois mois, soit jusqu’au 15 novembre 2022 (rubrique F) ;</w:t>
      </w:r>
    </w:p>
    <w:p>
      <w:r>
        <w:rPr>
          <w:b/>
        </w:rPr>
        <w:t>E. 3</w:t>
      </w:r>
    </w:p>
    <w:p>
      <w:r>
        <w:t>Vu le recours du 29 août 2022 interjeté contre cette décision ; le recourant conclut à l’annulation de l’ordonnance attaquée, à sa mise en liberté immédiate, moyennant les mesures de substitution suivantes : interdiction de prendre contact, directement ou indirectement, avec la plaignante de quelque manière que ce soit, obligation de se présenter deux fois par semaine au poste de police, dépôt des papiers d'identité auprès du Ministère public, obligation de poursuivre son travail, obligation de débuter un suivi psychothérapeutique, sous suite des frais et dépens, ainsi qu’à l’octroi de l’assistance judiciaire pour la procédure de recours ; il conteste toutes les infractions que lui impute son épouse, de même que l’existence d’un risque de fuite et de récidive ; en tout état de cause, les infractions pour lesquelles il pourrait éventuellement être condamné ne justifient en aucun cas son maintien en détention provisoire, au vu des mesures de substitution proposées, conformes au principe de proportionnalité, étant rappelé qu’il a un casier judiciaire vierge et qu'un pronostic favorable devra être posé par le juge pénal ; Vu la prise de position du juge des mesures de contrainte du 31 août 2022 selon laquelle le recours n’appelle pas de remarque de sa part ; Vu la détermination du Ministère public du 2 septembre 2022 dans laquelle il conclut au rejet du recours, partant, à la confirmation de la décision attaquée et à ce qu’il soit statué ce que de droit sur la requête d’assistance judiciaire, sous suite des frais ; il renvoie en substance au contenu de ses requêtes de prolongation de la détention ainsi qu’aux motifs de la décision attaquée ; Vu la prise de position du recourant du 5 septembre 2022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que l'art. 227 al. 7 CPP prévoit que la détention provisoire peut être prolongée plusieurs fois, chaque fois de trois mois au plus et, dans des cas exceptionnels, de six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w:t>
      </w:r>
    </w:p>
    <w:p>
      <w:r>
        <w:rPr>
          <w:b/>
        </w:rPr>
        <w:t>E. 3.2</w:t>
      </w:r>
    </w:p>
    <w:p>
      <w:r>
        <w:t>et 3.3.2) ; en effet, une surveillance électronique ne permet en particulier pas de prévenir la fuite du prénommé, mais uniquement de la constater a posteriori (cf. ATF 145 IV 503 consid. 3.3) ; de même, une interdiction de prendre contact avec la plaignante, l’obligation de poursuivre son travail et de débuter un suivi psychothérapeutique ne permettent pas de pallier le risque de fuite, mais tout au plus seulement, dans une certaine mesure, le seul risque de réitération ; Attendu que les mesures proposées par le recourant sont donc impropres à prévenir le risque de fuite et on ne voit pas, au vu des motifs précités, quelle autre mesure de substitution serait propre à empêcher efficacement la concrétisation des risques redoutés ; Attendu que la durée de la détention déjà subie, soit moins de 5 mois, demeure en tout point conforme aux exigences posées par les art. 31 al. 3 Cst., 5 par. 3 CEDH et 212 al. 3 CPP, au regard de la durée probable de la peine privative de liberté à laquelle il faut s’attendre, en cas de condamnation du recourant, étant rappelé, en tout état de cause, qu’à ce stade de la procédure, la possibilité d'un sursis, voire d'un sursis partiel, n'a en principe pas à être prise</w:t>
      </w:r>
    </w:p>
    <w:p>
      <w:r>
        <w:rPr>
          <w:b/>
        </w:rPr>
        <w:t>E. 4</w:t>
      </w:r>
    </w:p>
    <w:p>
      <w:r>
        <w:t>c'est-à-dire des raisons plausibles de le soupçonner d'avoir commis une infraction (TF 1B_464/2016 du 27 décembre 2016 consid. 2) ; Attendu que le recourant conteste l’existence de charges suffisantes au cas d’espèce ; Attendu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qu’il importe de constater que les faits recueillis en l’état par l’instruction ne permettent pas de rendre les accusations de la plaignante moins crédibles que les déclarations du recourant ; au contraire, la plaignante a longuement exposé au cours de ses auditions les faits l’ayant décidée, le 24 avril 2022, à requérir l’intervention de la police ;</w:t>
      </w:r>
    </w:p>
    <w:p>
      <w:r>
        <w:rPr>
          <w:b/>
        </w:rPr>
        <w:t>E. 5</w:t>
      </w:r>
    </w:p>
    <w:p>
      <w:r>
        <w:t>elle a décrit de manière très détaillée les moyens mis en œuvre par le recourant lui permettant de la surveiller en permanence et de la garder sous son emprise : mise en lien par le recourant du téléphone de la plaignante avec le sien par le biais d’un compte commun ICloud lui permettant d’avoir un contrôle total des appels téléphoniques, de la messagerie et de la localisation de la plaignante (cf. not. rubrique H, rapport d’analyse par la police du téléphone portable du recourant comportant une capture d’écran du 17.09.2021) ; contrôle des comptes de réseaux sociaux de la plaignante ; surveillance des discussions lorsque la plaignante se trouvait seule, notamment dans sa famille par le biais du téléphone que la plaignante devait maintenir en communication avec le recourant ; manière dont ce dernier a procédé pour écarter la plaignante de ses amis et de sa famille) ; elle a également décrit en détail les violences exercées par le recourant à plusieurs occasions en la giflant, en la frappant avec son poing, avec ses pieds, en lui tirant les cheveux, en lui mettant la pointe d’un couteau de cuisine sur la gorge ou encore ses menaces de diffuser des photos et vidéos d’elle nue et de tuer ses parents ; finalement, de lui avoir imposé un acte sexuel complet, en dépit de ses pleurs et de la manifestation de son refus ; Attendu que la plaignante n’a certes pas dénoncé lors de sa première audition le fait que le recourant est passé outre à son consentement pour accomplir l’acte sexuel ; il sied toutefois de constater que la plainte pénale du 24 avril 2022 déposée par la plaignante fait expressément référence à l’infraction de contrainte sexuelle (rubrique A) ; il sied par ailleurs de tenir compte du fait que, selon les déclarations de la plaignante, celle-ci s’est adressée à la police, car elle avait peur pour sa vie en raison du fait que le jour en question, le recourant l’avait suivie et surveillée jusqu’à V.________ (p-v du 24.04.2022, p. 3), circonstance de nature à expliquer qu’elle n’a pas relaté à l’occasion de sa première audition par la police tous les faits pénalement relevant survenus durant sa vie de couple ; il n’est au demeurant pas rare que le dévoilement de violences sexuelles ne soit pas exposé spontanément, immédiatement lors de la première audition ; Attendu que le caractère possessif et jaloux du recourant, confirmé par plusieurs témoignages, tend à renforcer la crédibilité des déclarations de la plaignante ; outre les déclarations des membres de la famille de cette dernière, celles de tiers tendent à confirmer certaines des accusations décrites par la plaignante ; D.________ a déclaré avoir constaté la surveillance dont faisait preuve le recourant et avoir été l’objet de menaces de la part de ce dernier ; E.________ a également constaté que la plaignante ne cessait pas de recevoir des appels téléphoniques durant ses pauses et qu’elle présentait, à une occasion, une « énorme marque » sur le bras, étant en outre relevé à cet égard que figure au dossier une série de photographies produites par la plaignante sur lesquelles elle apparait avec divers hématomes (rubrique A) ; le témoignage de C.________, employeur de la plaignante ayant confirmé que le prévenu était venu la trouver, un matin à 8 h, sur son lieu de travail, contredit également les déclarations du recourant sur ce point ; Attendu, au vu de ces motifs, que les déclarations du recourant apparaissent en revanche difficilement crédibles ; aucun indice pertinent susceptible de les conforter n’a été recueilli en l’état ; en particulier, aucun des enregistrements des altercations au sein de son couple dont parlent le recourant et sa mère (rubrique J, PJ selon ch. 3 du courrier de Me Allimann du 07.06.2022) ne figure au dossier ; le recourant s’est limité tout au long de l’instruction à se</w:t>
      </w:r>
    </w:p>
    <w:p>
      <w:r>
        <w:rPr>
          <w:b/>
        </w:rPr>
        <w:t>E. 6</w:t>
      </w:r>
    </w:p>
    <w:p>
      <w:r>
        <w:t>décrire comme une victime de la plaignante et de sa famille et sa défense consiste essentiellement à imputer à la plaignante des accusations en tous points identiques à celles que cette dernière porte à son encontre ; il se décrit ainsi comme une personne calme, contrairement à la plaignante qui s’emporte immédiatement, affirme en substance avoir été maltraité physiquement et psychologiquement par la plaignante et n’avoir pas osé demander la séparation, de peur de représailles de la part de sa belle-famille ; à cet égard, le rapport de la Dresse I.________, médecin psychiatre et psychothérapeute, spécialiste FMH, du 11 juin 2022, laisse au contraire apparaitre le caractère impulsif du recourant, ce dernier essayant sans arrêt de couper la parole à ce médecin, élevant ensuite la voix et, vers la fin de l’entretien, devenant presque menaçant (cote G) ; le père du recourant, H.________, le décrit d’ailleurs également comme une personne qui a changé et qui est devenu nerveux ; quant au motif pour lequel il allègue avoir renoncé à demander lui-même une séparation de son épouse, aucun indice pertinent ne permet de le considérer comme sérieux ; Attendu, enfin, que la croyance du recourant en la « loi du Kanun » constitue également un indice fort du caractère patriarcal et dominateur de ce dernier (cf. audition du 31 août 2022, p. 4, Q 9) ; Attendu qu'en l'état, compte tenu du fait qu'il n'appartient pas à la Chambre de céans d'apprécier en détail la crédibilité des déclarations des uns et des autres, on doit admettre qu'il existe des présomptions suffisantes de culpabilité à l'égard du prévenu ; Attendu que le recourant conteste également l’existence des risques de fuite et de réitération évoqués par le juge des mesures de contrainte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 le recourant, âgé de … ans, au bénéfice d’une formation de … acquise au V1.________ (pays) séjourne en Suisse depuis … 2021 seulement, au bénéfice d’un permis B acquis lors de son mariage avec la plaignante, le … 2021 ; hormis ses collègues de travail, dans le cadre de l’activité qu’il exerce en Suisse depuis février 2022, le recourant n’a pas d’autres connaissances ni de famille en Suisse (p-v prévenu du 24.04.2022) ; le recourant présente en revanche de forts liens avec son pays d’origine, où réside sa famille ; Attendu qu’il résulte de ces circonstances un risque de fuite hautement probable au regard de la lourde peine à laquelle est exposé le recourant en cas de déclaration de culpabilité ;</w:t>
      </w:r>
    </w:p>
    <w:p>
      <w:r>
        <w:rPr>
          <w:b/>
        </w:rPr>
        <w:t>E. 7</w:t>
      </w:r>
    </w:p>
    <w:p>
      <w:r>
        <w:t>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qu’au cas présent, quand bien même le recourant ne présente aucun antécédent judiciaire tant en Suisse qu’au V1.________, il doit être admis que le risque de réitération est également réalisé ; au regard des déclarations de la plaignante, qualifiées en l’état de crédibles, de la fréquence et de l’intensité des actes violents commis à l’encontre de cette dernière, de la gravité de certaines des infractions commises (mise en danger de la vie d’autrui, viol), du caractère impulsif et dominateur du recourant qui se réfère en outre à la « loi de</w:t>
      </w:r>
    </w:p>
    <w:p>
      <w:r>
        <w:rPr>
          <w:b/>
        </w:rPr>
        <w:t>E. 8</w:t>
      </w:r>
    </w:p>
    <w:p>
      <w:r>
        <w:t>Kanun » et apparaît sur une photographie (rubrique I) en possession d’une kalachnikov, il est fortement à craindre qu’en cas de mise en liberté, il réitère des actes violents et vengeurs à l’encontre de la plaignante qu’il n’a eu de cesse de qualifier d’épouse infidèle durant toute l’instruction ; on ajoutera ici que le fait que les parties ont passé une convention de vie séparée devant le juge civil ne permet pas d’écarter cette conclusion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se déclare disposé à respecter les mesures de substitution suivantes : interdiction de prendre contact, directement ou indirectement, avec la plaignante de quelque manière que ce soit, obligation de se présenter deux fois par semaine au poste de police, dépôt des papiers d'identité auprès du Ministère public, obligation de poursuivre son travail, obligation de débuter un suivi psychothérapeutique ; Attendu qu’il a déjà été relevé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w:t>
      </w:r>
    </w:p>
    <w:p>
      <w:r>
        <w:rPr>
          <w:b/>
        </w:rPr>
        <w:t>E. 9</w:t>
      </w:r>
    </w:p>
    <w:p>
      <w:r>
        <w:t>en considération dans l'examen de la proportionnalité de la détention provisoire (not. TF 1B_454/2013 du 24 janvier 2014 consid. 5.3 et réf.) ; Attendu enfin que l’instruction est menée avec célérité par le Ministère public, ce que ne conteste pas le recourant ; Attendu, au vu de ces motifs, que le recours doit en conséquence être rejeté ; Attendu que les frais de la procédure de recours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et à la note d’honoraires produite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Mathias Eusebio étant désigné défenseur d’office ; pour le surplus, rejette le recours ; met les frais de la présente procédure fixés au total à CHF 1'425.05 (comprenant l’émolument et les débours par CHF 700.-, ainsi que l'indemnité versée à son défenseur d'office par CHF 725.05) à la charge du recourant ; taxe comme il suit les honoraires que Me Mathias Eusebio pourra réclamer à l'Etat en sa qualité de défenseur d'office du recourant pour la présente procédure de recours : - Honoraires (3.58 h à CHF 180.-) CHF 644.40 - Débours CHF 28.80 - TVA CHF 51.85 - Total à verser par l’Etat : CHF 725.05</w:t>
      </w:r>
    </w:p>
    <w:p>
      <w:r>
        <w:rPr>
          <w:b/>
        </w:rPr>
        <w:t>E. 10</w:t>
      </w:r>
    </w:p>
    <w:p>
      <w:r>
        <w:t>dit que le recourant est tenu de rembourser, si sa situation financière le permet, d'une part à la République et Canton de Jura l'indemnité allouée pour ses frais de défense d'office tels que taxés ci-dessus, et d'autre part à Me Mathias Eusebio la différence entre cette indemnité et les honoraires que celui-ci aurait touchés comme mandataire privé, pour la présente procédure de recours ; informe les parties des voies et délais de recours selon avis ci-après ; ordonne la notification de la présente décision :  au recourant, actuellement détenu à la prison de Porrentruy ;  au recourant, par son mandataire, Me Mathias Eusebio, avocat à Delémont ;  au Ministère public, par Marc Bouvier, procureur e.o, Le Château, 2900 Porrentruy ;  au juge des mesures de contrainte, Boris Schepard, Le Château, 2900 Porrentruy. Porrentruy, le 7 septembre 2022 AU NOM DE LA CHAMBRE PÉNALE DES RECOURS Le président : La greffière : Daniel Logos Lisiane Poupon</w:t>
      </w:r>
    </w:p>
    <w:p>
      <w:r>
        <w:rPr>
          <w:b/>
        </w:rPr>
        <w:t>E. 11</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