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2019 17 vom 12. August 2019</w:t>
      </w:r>
    </w:p>
    <w:p>
      <w:r>
        <w:t>JU Tribunal cantonal, 2019-08-12, DE</w:t>
      </w:r>
    </w:p>
    <w:p>
      <w:r>
        <w:rPr>
          <w:b/>
        </w:rPr>
        <w:t xml:space="preserve">Quelle: </w:t>
      </w:r>
      <w:r>
        <w:t>https://mcp.opencaselaw.ch/entscheid/ju_gerichte_CPR_2019_17</w:t>
      </w:r>
    </w:p>
    <w:p>
      <w:r>
        <w:t>FR: JU_GERICHTE CPR 2019 17 du 12 août 2019</w:t>
      </w:r>
    </w:p>
    <w:p>
      <w:r>
        <w:t>IT: JU_GERICHTE CPR 2019 17 del 12 agosto 2019</w:t>
      </w:r>
    </w:p>
    <w:p>
      <w:pPr>
        <w:pStyle w:val="Heading2"/>
      </w:pPr>
      <w:r>
        <w:t>Regeste</w:t>
      </w:r>
    </w:p>
    <w:p>
      <w:r>
        <w:t>Procédure de recours devenue sans objet; sort des effets accessoires (frais et dépens). | Autres mesures de contrainte</w:t>
      </w:r>
    </w:p>
    <w:p>
      <w:pPr>
        <w:pStyle w:val="Heading2"/>
      </w:pPr>
      <w:r>
        <w:t>Erwägungen</w:t>
      </w:r>
    </w:p>
    <w:p>
      <w:r>
        <w:rPr>
          <w:b/>
        </w:rPr>
        <w:t>E. 2</w:t>
      </w:r>
    </w:p>
    <w:p>
      <w:r>
        <w:t>Vu la réponse du 17 mai 2019 par laquelle l’intimé conclut au rejet du recours dans la mesure de sa recevabilité et à la confirmation de la décision du Ministère public du 4 avril 2019 ; subsidiairement, à ce que la durée de la décision du Ministère public du 4 avril 2019 soit fixée à 30 jours après notification du retour des autorités C.________ dans le cadre d’une éventuelle procédure d’entraide, étant donné acte aux parties de leur droit de solliciter une extension de l’obligation de garder le silence si la dénonciation du recourant ne trouve pas de nouveau fondement d’ici là et que la mesure d’interdiction perdurera jusqu’à décision définitive de la Chambre de céans en cas de recours du recourant contre une décision du Ministère public refusant de prolonger la mesure ; plus subsidiairement, que la décision du Ministère public du</w:t>
      </w:r>
    </w:p>
    <w:p>
      <w:r>
        <w:rPr>
          <w:b/>
        </w:rPr>
        <w:t>E. 4</w:t>
      </w:r>
    </w:p>
    <w:p>
      <w:r>
        <w:t>personnes impliquées ne peut être imposée selon l’article 73 al. 2 CPP que si cette mesure apparaît nécessaire pour la bonne marche de l’instruction ou pour protéger un intérêt privé prépondérant ; cette mesure ne peut en conséquence être imposée qu’avec retenue ; l'autorité pénale doit se fonder sur un risque concret ; un seul risque abstrait susceptible d' « empêcher une investigation efficace et sereine de l'état de fait » ou encore de « porter atteinte aux intérêts de la partie plaignante » ne suffit pas, de même que de simples généralités n'indiquant pas en quoi le «but de la procédure», respectivement un «intérêt privé» exigerait véritablement d'imposer une interdiction de communiquer (TPF BB.2015.96 du 25 février 2016 consid. 3.2 et la réf. citée) ; Attendu, par ailleurs, conformément au principe de la proportionnalité, que la mesure de l’art. 73 al. 2 CPP doit être limitée dans le temps et la limitation doit être exprimée avec précision (TPF BB.2015.96 précité) ; selon les divers avis exprimés en doctrine, l'obligation ne peut perdurer que tant et aussi longtemps que le but de la procédure ou l'intérêt privé qui en est à la base l'exige, voire que pendant une limite temporelle fixée par une date calendaire et non par l'accomplissement d'un acte procédural, que la limite doit être relativement proche dans le temps et aisément déterminable ou, encore, eu égard au principe de proportionnalité devant encadrer l'obligation de garder le silence, que celle-ci ne peut être imposée tout au long de la procédure préliminaire (CREP VD PE16.015034-LML du 25 novembre 2016 consid. 2.1.2 et les réf. citées) ; une obligation de garder le silence « jusqu'à la clôture de la procédure sur celle-ci et sur les personnes impliquées » s'avère en tout état de cause contraire à l'art. 73 al. 2, 2ème phrase CPP, dans la mesure où une telle limite ne correspond à aucun événement procédural prévisible à court terme ni à aucune date précise et qu'au vu de la possibilité de renouveler ladite obligation en fonction des nécessités de la procédure, il ne se justifie aucunement de fixer un terme si incertain (CREP VD, arrêt précité consid. 2.3) ; Attendu, en l’espèce, que le Ministère public a motivé son ordonnance obligeant les parties et leur mandataire à garder le silence sur toutes les informations de la procédure, d’une part, par le fait qu’il ressort du dossier que le recourant a diffusé le contenu de l’instruction pénale au public et, d’autre part, par la nécessité de protéger le bon déroulement de l’instruction et la présomption d’innocence du prévenu ; Attendu que ces motifs apparaissent insuffisants pour justifier la mesure imposée au recourant et, de surcroit, à son mandataire ; le fait que, préalablement à l’audience du 4 avril 2019, le plaignant ait fait état du dépôt de sa plainte pénale à la suite des menaces dont il a été l’objet ne suffit pas pour justifier une telle mesure ; on ne voit par ailleurs pas en quoi cette mesure aurait été nécessaire au bon déroulement de l’instruction, en particulier pour éviter tout risque de collusion ; enfin, l’identité de l’intimé était déjà connue du public antérieurement à la mesure attaquée et rien ne permettait alors de suspecter que le recourant ne respecterait pas la présomption d’innocence de l’intimé ; Attendu, au surplus, que la mesure prononcée n’a pas été limitée dans le temps avec une précision suffisante ; l’annonce de la clôture de l’instruction, dont on ignore totalement l’échéance au moment du prononcé de la mesure, est bien trop vague et n’est ni prévisible à court terme ni à aucune date précise ;</w:t>
      </w:r>
    </w:p>
    <w:p>
      <w:r>
        <w:rPr>
          <w:b/>
        </w:rPr>
        <w:t>E. 5</w:t>
      </w:r>
    </w:p>
    <w:p>
      <w:r>
        <w:t>Attendu qu’il ressort de ces motifs que si le recours n’était pas devenu sans objet, il aurait dû être admis ; Attendu, en l’espèce, que les frais de la procédure de recours doivent en conséquence être mis à la charge de l’intimé qui a conclu principalement au rejet du recours et aurait de la sorte succombé dans ses conclusions en cas de jugement au fond (art. 428 al. 1 CPP) ; Attendu que les sûretés déposées par le recourant, qui aurait obtenu gain de cause, doivent lui être restituées, si bien qu’il n’y a pas lieu de lui allouer de dépens, dans la mesure où il y a renoncé dans sa prise de position du 31 mai 2019 ; PAR CES MOTIFS LA CHAMBRE PENALE DES RECOURS constate que la procédure de recours est devenue sans objet ; déclare l’affaire liquidée et rayée du rôle ; condamne l’intimé à payer les frais de la procédure de recours fixés à CHF 471.40 (émolument CHF 350.00 ; débours : CHF 121.40) ; ordonne la restitution, au recourant, de son avance de frais, par CHF 700.00 ; dit qu’il n’est pas alloué de dépens ; informe les parties des voie et délai de recours selon avis ci-après ;</w:t>
      </w:r>
    </w:p>
    <w:p>
      <w:r>
        <w:rPr>
          <w:b/>
        </w:rPr>
        <w:t>E. 6</w:t>
      </w:r>
    </w:p>
    <w:p>
      <w:r>
        <w:t>ordonne la notification de la présente décision : - au recourant, par son mandataire, Me Giorgio Campà, avocat à 1207 Genève ; - à l’intimé, par son mandataire, Me Philippe Vladimir Boss, avocat à 1002 Lausanne ; - au Ministère public, Mme la procureure Laurie Roth, Le Château 2900 Porrentruy. Porrentruy, le 12 août 2019 AU NOM DE LA CHAMBRE PENALE DES RECOURS: Le président : Le greffier e.r. : Daniel Logos Pablo Probst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