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2024 9 vom 30. April 2024</w:t>
      </w:r>
    </w:p>
    <w:p>
      <w:r>
        <w:t>JU Tribunal cantonal, 2024-04-30, DE</w:t>
      </w:r>
    </w:p>
    <w:p>
      <w:r>
        <w:rPr>
          <w:b/>
        </w:rPr>
        <w:t xml:space="preserve">Quelle: </w:t>
      </w:r>
      <w:r>
        <w:t>https://mcp.opencaselaw.ch/entscheid/ju_gerichte_CC_2024_9</w:t>
      </w:r>
    </w:p>
    <w:p>
      <w:r>
        <w:t>FR: JU_GERICHTE CC 2024 9 du 30 avril 2024</w:t>
      </w:r>
    </w:p>
    <w:p>
      <w:r>
        <w:t>IT: JU_GERICHTE CC 2024 9 del 30 aprile 2024</w:t>
      </w:r>
    </w:p>
    <w:p>
      <w:pPr>
        <w:pStyle w:val="Heading2"/>
      </w:pPr>
      <w:r>
        <w:t>Regeste</w:t>
      </w:r>
    </w:p>
    <w:p>
      <w:r>
        <w:t>For de la procédure de mainlevée dans une poursuite en validation | mainlevée définitive de l\x27opposition</w:t>
      </w:r>
    </w:p>
    <w:p>
      <w:pPr>
        <w:pStyle w:val="Heading2"/>
      </w:pPr>
      <w:r>
        <w:t>Erwägungen</w:t>
      </w:r>
    </w:p>
    <w:p>
      <w:r>
        <w:rPr>
          <w:b/>
        </w:rPr>
        <w:t>E. 2</w:t>
      </w:r>
    </w:p>
    <w:p>
      <w:r>
        <w:t>fait suite à l’ordonnance de séquestre du 27 novembre 2023 du juge civil du Tribunal de première instance et tend à la validation du séquestre ; Vu le courrier du 8 février 2024 du juge civil aux termes duquel il estime qu’il n’est pas compétent pour donner suite à la requête de mainlevée du 5 février 2024 puisque le débiteur est domicilié en France (W.________) ; le juge civil a classé l’affaire, sans frais, étant précisé qu’aucune voie de recours n’est indiquée ; Vu le recours formé le 19 février 2024, dans lequel la recourante conclut à l’annulation de la décision de non-entrée en matière du 8 février et au prononcé de la mainlevée définitive, éventuellement provisoire, de l’opposition formée par l’intimé au commandement de payer dans la poursuite n° xxx.________ de l’Office des poursuites de U.________ portant sur un montant de CHF 8'502.80 plus intérêts à 5 % dès le 19 décembre 2023 (primes LaMal), plus CHF 310.80 (intérêts échus), plus CHF 652.90 (frais de procédure) et CHF 840.00 (frais de sommation), le tout sous suite des frais et dépens ; elle soutient en substance que le juge civil du Tribunal de première instance est compétent à raison du lieu pour se prononcer sur la requête de mainlevée déposée le 5 février 2024 ; en particulier, elle indique que le juge du for du séquestre est compétent pour traiter la requête de mainlevée, si la poursuite a été introduite au for du séquestre en application des art. 52 et 84 al .1 LP ; Vu que l’intimé n’a pas pris position sur le recours dans le délai qui lui a été imparti ; l’attestation d’assurance qu’il a postée le 22 avril 2024 est en effet parvenue à la Cour de céans après la mise en délibérations de l’affaire, soit tardivement (cf. dans ce sens TF 5A_662/2022 du 17 novembre 2022) ; l’intimé ne s’est quoi qu’il en soit pas prononcé sur l’objet du litige, le for de la procédure de mainlevée ; Attendu qu’afin de statuer sur la recevabilité du recours, il convient en premier lieu de déterminer la nature du courrier litigieux ; Attendu que la Cour civile est compétente pour connaître des recours et appels formés contre les décisions du juge civil de première instance (art. 4 al. 1 LiCPC ; RSJU 271.1) ; Attendu qu’aux termes de l’art. 319 let. a CPC, le recours est recevable contre les décisions ne pouvant pas faire l’objet d’un appel ; celui-ci étant irrecevable contre les décisions de mainlevée (art. 309 let. b ch. 3 CPC), seule la voie du recours est ouverte ; Attendu que la présidente de la Cour civile est compétente pour statuer sur les recours contre les décisions mentionnées à l’art. 319 CPC (art. 21a al. 2 LOJ : RSJU 181.1 ; art. 5 al. 5 let. b LiCPC : RSJU 271.1) ; Attendu que le jugement est une déclaration de volonté par laquelle le tribunal déclare terminer le procès pendant devant lui (TF 5A_476/2017 du 11 septembre 2017 consid. 5.1.2) ; le refus du juge d’entrer en matière fait l’objet d’un prononcé (BOHNET, in Commentaire romand, Code de procédure civile, 2019, N 153 ad art. 59 CPC) ;</w:t>
      </w:r>
    </w:p>
    <w:p>
      <w:r>
        <w:rPr>
          <w:b/>
        </w:rPr>
        <w:t>E. 3</w:t>
      </w:r>
    </w:p>
    <w:p>
      <w:r>
        <w:t>Attendu qu’au sens de l’art. 236 al. 1 CPC, sont finales les décisions qui mettent fin au procès par une décision d’irrecevabilité ou une décision au fond ; en d’autres termes, le tribunal rend une décision finale lorsqu’il admet ou rejette le bien-fondé de la demande et lorsqu’il refuse d’entrer en matière sur le fond parce qu’une condition de recevabilité au sens de l’art. 59 CPC fait défaut (HEINZMANN/BRAIDI, in Petit commentaire du CPC, 2021, N 3 ad art. 59 CPC) ; Attendu que l’art. 238 CPC liste les éléments qui doivent figurer dans une décision finale ; en particulier, la décision doit indiquer les voies de droit si les parties n’ont pas renoncé à recourir (art. 238 let. f CPC) ; cette disposition s’applique par analogie à la procédure sommaire (ATF 139 III 78 consid. 5.2) ; Attendu que toute notification entachée d’un vice, notamment l’absence d’indication ou l’indication erronée des voies de droit, n’entraine pas la nullité de la décision (TF 5A_979/2022 du 10 février 2023, 5A_120/2012 du 21 juin 2012 consid. 4.1 ; HEINZMANN/BRAIDI, op. cit., N 21 ad art. 238 CPC et les références citées) ; elle peut en revanche induire en erreur les plaideurs qui ne doivent pas subir de désavantage en raison du vice affectant la décision (ATF 138 I 49 consid. 8.3.2 ; HEINZMANN/BRAIDI, op. cit., N 21 ad art. 238 CPC et les références citées) ; une partie ne peut toutefois se prévaloir de cette protection que si elle se fie de bonne foi à cette indication ; tel n'est pas le cas de celle qui s'est aperçue de l'erreur, ou aurait dû s'en apercevoir en prêtant l'attention commandée par les circonstances (TF 4A_573/2021 du 17 mai 2022 consid. 3) ; Attendu qu’il découle du principe selon lequel une partie ne doit pas subir de préjudice du fait d'une notification entachée d'irrégularité que la protection juridique visée est également satisfaite lorsqu'une notification objectivement entachée d'irrégularité atteint son but malgré cette irrégularité ; cela signifie qu'il convient d'examiner dans chaque cas concret si la partie concernée a effectivement été induite en erreur par le défaut et si elle a ainsi été désavantagée (TF 5A_120/2012 du 21 juin 2012, consid. 4.1) ; en particulier, si l’indication des voies de droit fait totalement défaut, la décision ou sa notification ne sont pas nulles, ni même annulables en l’absence de préjudice pourvu que l’autorité supérieure ait finalement pu être saisie (TF 6B_846/2009 du 26 janvier 2010, consid. 3.1 ; TAPPY, in Commentaire romand, Code de procédure civile, 2019, N 12 ad art. 238 CPC) ; Attendu qu’en l’espèce, le juge civil a refusé d’entrer en matière sur la requête de mainlevée de la recourante au moyen d’une lettre dépourvue d’indication de voies de droit ; par son courrier du 8 février 2024, le juge civil a mis fin au procès pendant devant lui en estimant qu’il n’était pas compétent à raison du lieu ; il a classé l’affaire et a statué sans frais ; le courrier du</w:t>
      </w:r>
    </w:p>
    <w:p>
      <w:r>
        <w:rPr>
          <w:b/>
        </w:rPr>
        <w:t>E. 8</w:t>
      </w:r>
    </w:p>
    <w:p>
      <w:r>
        <w:t>Communication concernant les moyens de recours : 1)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recours est toutefois recevable uniquement dans la mesure où "la contestation soulève une question juridique de principe" (art. 74 al. 2 litt. a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2) Un recours constitutionnel subsidiaire peut également être déposé contre le présent jugement pour violation des droits constitutionnels (art. 113ss LTF), dans un délai de 30 jours à partir de la date où ce jugement vous a été notifié (art. 100 et 117 LTF). Ce délai ne peut pas être prolongé (art. 47 al. 1 LTF). Le recours constitutionnel doit indiquer les conclusions, les motifs et les moyens de preuve, et être signé. Le recourant doit exposer succinctement en quoi l'acte attaqué viole le droit (art. 42 al. 2 LTF). Le présent jugement et les pièces invoquées comme moyens de preuve en possession du recourant doivent être joints au mémoire (art. 42 al. 3 LTF). 3) Si une partie forme simultanément un recours en matière civile et un recours constitutionnel subsidiaire, elle doit déposer les deux recours dans un seul mémoire (art. 119 al 1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