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2024 2 vom 20. Februar 2024</w:t>
      </w:r>
    </w:p>
    <w:p>
      <w:r>
        <w:t>JU Tribunal cantonal, 2024-02-20, DE</w:t>
      </w:r>
    </w:p>
    <w:p>
      <w:r>
        <w:rPr>
          <w:b/>
        </w:rPr>
        <w:t xml:space="preserve">Quelle: </w:t>
      </w:r>
      <w:r>
        <w:t>https://mcp.opencaselaw.ch/entscheid/ju_gerichte_CC_2024_2</w:t>
      </w:r>
    </w:p>
    <w:p>
      <w:r>
        <w:t>FR: JU_GERICHTE CC 2024 2 du 20 février 2024</w:t>
      </w:r>
    </w:p>
    <w:p>
      <w:r>
        <w:t>IT: JU_GERICHTE CC 2024 2 del 20 febbraio 2024</w:t>
      </w:r>
    </w:p>
    <w:p>
      <w:pPr>
        <w:pStyle w:val="Heading2"/>
      </w:pPr>
      <w:r>
        <w:t>Regeste</w:t>
      </w:r>
    </w:p>
    <w:p>
      <w:r>
        <w:t>Mainlevée provisoire - Identité de la prétention mise en poursuite et la dette reconnue | mainlevéee provisoire de l\x27opposition</w:t>
      </w:r>
    </w:p>
    <w:p>
      <w:pPr>
        <w:pStyle w:val="Heading2"/>
      </w:pPr>
      <w:r>
        <w:t>Erwägungen</w:t>
      </w:r>
    </w:p>
    <w:p>
      <w:r>
        <w:rPr>
          <w:b/>
        </w:rPr>
        <w:t>E. 2</w:t>
      </w:r>
    </w:p>
    <w:p>
      <w:r>
        <w:t>Vu le recours daté du 23 décembre 2023 dans lequel la recourante déclare recourir, sans toutefois retenir de conclusions formelles ; la recourante allègue que l’intimée lui doit encore la somme de CHF 40'297.95 ; depuis le début de la procédure de poursuite, l’intimée s’est acquittée de la somme de CHF 70'000.- sur le montant de CHF 110'297.95, mais ce paiement ne lui donne aucune garantie quant au versement du solde de CHF 40'297.95 et ne règle pas la question des intérêts ; elle produit un document listant les factures encore ouvertes, ainsi qu’un courriel de l’intimée du 29 novembre 2023 ; Vu que l’intimée ne s’est pas déterminée dans le délai qui lui a été imparti ; Attendu que la Cour civile est compétente pour connaître des recours et appels formés contre les décisions du juge civil de première instance (art. 4 al. 1 LiCPC ; RSJU 271.1) ; Attendu, aux termes de l’art. 319 let. a CPC, que le recours est recevable contre les décisions ne pouvant pas faire l’objet d’un appel ; celui-ci étant irrecevable contre les décisions de mainlevée (art. 309 let. b ch. 3 CPC), la voie du recours est dès lors ouverte ; le recours a, pour le surplus, été interjeté dans le délai légal de 10 jours (art. 321 al. 2 CPC) ; Attendu que la présidente de la Cour civile est compétente pour connaître de la présente affaire (art. 21a LOJ [RSJU 181.1] ; art. 4 al. 1 et 5 let. b LiCPC [RSJU 271.1]) ; Attendu que le pouvoir de cognition de l’autorité de recours est plein et entier en droit ; s’agissant des faits, son pouvoir d’examen est limité à la constatation manifestement inexacte des faits (art. 320 CPC) ; Attendu que le recours doit être écrit et motivé (art. 321 al. 1 CPC), tel que mentionné dans l'indication de la voie de droit figurant sur la décision attaquée ; Attendu que, selon l'art. 321 al. 1 CPC, le recours doit être introduit par un acte écrit et motivé ; la motivation d'un recours doit, à tout le moins, satisfaire aux exigences qui sont posées pour un acte d'appel (art. 311 al. 1 CPC) ;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138 III 374 consid. 4.3.1) ; même si l'instance d'appel applique le droit d'office (art. 57 CPC), le procès se présente différemment en seconde instance, vu la décision déjà rendue ; l'appelant doit donc tenter de démontrer que sa thèse l'emporte sur celle de la décision attaquée ;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 à défaut, son recours est irrecevable (parmi d’autres, TF 4A_462/2022 du 6 mars 2023 consid. 5.1.1) ;</w:t>
      </w:r>
    </w:p>
    <w:p>
      <w:r>
        <w:rPr>
          <w:b/>
        </w:rPr>
        <w:t>E. 3</w:t>
      </w:r>
    </w:p>
    <w:p>
      <w:r>
        <w:t>Attendu qu’en l’espèce, la recourante ne se prévaut pas formellement d’une violation du droit ni ne précise en quoi les faits retenus par l'autorité inférieure sur la base des pièces produites devant cette instance l'aurait été de manière manifestement inexacte, ni en quoi son raisonnement est erroné ; elle se limite à alléguer que l’intimée ne s’est toujours pas acquittée de l’intégralité de ses dettes en produisant un document récapitulant le solde dû en date du 23 décembre 2023, dont elle réclame le paiement, sans critiquer le raisonnement de la juge civile ; elle ne se prononce ainsi, ni sur la problématique de l’identité de la créance, ni sur celle de l’absence de signature sur les factures produites ; Attendu que le recours ne répond ainsi pas aux exigences précitées et apparait irrecevable faute de motivation suffisante ; Attendu que, quoi qu'il en soit, le recours doit en tous les cas être rejeté pour les mêmes motifs que ceux retenus par l'autorité inférieure ; Attendu, selon l'art. 326 al. 1 CPC, que les conclusions, les allégations de faits et les preuves nouvelles sont irrecevables ; il s’ensuit que les pièces nouvelles produites en procédure de recours sont irrecevables et ne peuvent être pris en considération pour statuer sur le sort de la cause ; elles ne sont du reste pas pertinentes pour l’issue du recours ; Attendu, aux termes de l’art. 82 LP, que le créancier dont la poursuite se fonde sur une reconnaissance de dette constatée par acte authentique ou sous seing privé peut requérir la mainlevée provisoire (al. 1) ; le juge la prononce si le débiteur ne rend pas immédiatement vraisemblable sa libération (al. 2) ; Attendu que 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exigible (ATF 145 III 20 consid. 4.1.1, 139 III 297 consid. 2.3.1, 136 III 624 consid. 4.2.2, 136 III 627 consid. 2 et la jurisprudence citée) ;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132 III 489 consid. 4.1) ; il doit en outre exister un lien manifeste et non équivoque entre la reconnaissance de dette et les autres pièces et le montant doit pouvoir être calculé facilement sur la base de ces pièces (TF 5A_867/2012 du 7 mars 2013 consid. 4, SJ 2014 I 9) ; la reconnaissance de dette implique l’indication de la somme reconnue et la signature du débiteur ; s’il y a plusieurs pièces, la signature du débiteur doit figurer sur la pièce qui a un caractère décisif (TF 5A_420/2020 du 27 août 2020 consid. 4.2 ; PANCHAUD/CAPREZ, La mainlevée d’opposition, 2e éd., p. 12) ; Attendu, selon la jurisprudence, que le contentieux de la mainlevée de l’opposition (art. 80 ss LP), soumis à la procédure sommaire (art. 251 let. a CPC), est une procédure sur pièces (Urkundenprozess), dont le but n’est pas de constater la réalité d’une créance, mais l’existence d’un titre exécutoire ; le juge de la mainlevée examine uniquement la force probante du titre produit par le créancier poursuivant, sa nature formelle, et non pas la validité de la prétention</w:t>
      </w:r>
    </w:p>
    <w:p>
      <w:r>
        <w:rPr>
          <w:b/>
        </w:rPr>
        <w:t>E. 4</w:t>
      </w:r>
    </w:p>
    <w:p>
      <w:r>
        <w:t>déduite en poursuite (ATF 132 III 140 consid. 4.1.1 et les réf. citées) ; le prononcé de la mainlevée ne produit que des effets de droit des poursuites (ATF 100 III 48 consid. 3) et ne fonde pas l’exception de chose jugée (res iudicata) quant à l’existence de la créance (ATF 136 III 583 consid. 2.3) ; la décision du juge de la mainlevée ne prive donc pas les parties du droit de soumettre à nouveau la question litigieuse au juge ordinaire (art. 79 et 83 al. 2 LP ; ATF 136 III 528 consid. 3.2 ; TF 5A_89/2019 du 1er mai 2019 consid. 5.1.2) ; Attendu que le commandement de payer doit contenir les indications prescrites par la loi ; à teneur des art. 69 al. 2 ch. 1 et 67 al. 1 ch. 4 LP, il s'agit, entre autres indications, du titre, soit par exemple un jugement ou un contrat, et de la date de la créance ou, à défaut, de la cause de l'obligation, soit la source de l'obligation ; Attendu que, pour que la mainlevée provisoire soit prononcée (art. 82 LP),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 le juge de la mainlevée statue sur l'existence de ce titre de mainlevée au sens de l'art. 82 LP et sur la vraisemblance des moyens libératoires du débiteur ; il ne prononcera pas la mainlevée, notamment, s'il y a absence manifeste d'identité entre la créance et le titre ; ainsi, si le montant est dû en vertu d'un autre titre que celui indiqué dans le commandement de payer, la mainlevée doit être rejetée (TF 5A_740/2018 du 1er avril 2019 consid. 6, non publié aux ATF 145 III 160) ; Attendu que le commandement de payer produit par la recourante fait mention des factures n° 13567, 13569, 13571 à 13576 portant sur la somme totale de CHF 39'221.80, des factures n° 13602 à 13606 portant sur la somme totale de CHF 35'632.60 et des factures n° 13790 à 13798 portant sur la somme totale de CHF 35'443.55 ; Attendu qu’à l’appui de sa requête de mainlevée du 6 septembre 2023, la recourante a produit, en sus du commandement précité, les factures n° 13575 à 13576, les factures n° 13602 à 13606 et les factures n° 13790 à 13798, numéros qu’on retrouve dans ledit commandement de payer ; lesdites factures ne sont pas signées et ne valent dès lors pas reconnaissance de dettes ; la recourante a encore produit un échange de courriel, un courrier adressé à l’intimée, ainsi qu’un document intitulé « balance des factures ouvertes au 11.01.2023 » ; seul ce dernier document comporte la signature de l’intimée ; cette pièce, datée du 11 janvier 2023, liste les factures encore ouvertes et prévoit un échéancier de paiement ; comme l’a très justement relevé la juge civile, les factures indiquées ne correspondent pas à celles objet de la procédure en poursuite ; il s’agit essentiellement de factures établies entre le 30 août 2022 et le 11 janvier 2023, alors que celles indiquées dans le commandement de payer, et dont le paiement est requis en procédure de mainlevée, sont postérieures au 11 janvier 2023 (2 avril 2023 au 13 juillet 2023) ; la recourante admet du reste, dans le courriel du 31 mai 2023 qu’elle a produit, que toutes les factures 2022 sont réglées ; Attendu qu’il s’ensuit que le seul document produit par la recourante comprenant la signature de l’intimée, et valant titre de mainlevée, ne porte pas sur les mêmes créances que celles mises en poursuite, de sorte que c’est à juste titre que la juge civile a retenu l’absence</w:t>
      </w:r>
    </w:p>
    <w:p>
      <w:r>
        <w:rPr>
          <w:b/>
        </w:rPr>
        <w:t>E. 5</w:t>
      </w:r>
    </w:p>
    <w:p>
      <w:r>
        <w:t>manifeste d’identité entre la créance et le titre ; pour le surplus, c’est également à juste titre que la juge civile a retenu que les créances mises en poursuites ne reposaient sur aucun titre de mainlevée valable, les pièces produites y relatives ne comprenant pas la signature de l’intimée ; on ne saurait, enfin, considérer que les pièces produites constituent un ensemble de pièces valant titre de mainlevée, dans la mesure où les factures ici litigieuses portent sur une période postérieure au document signé le 11 janvier 2023 par l’intimée ; Attendu, en conséquence, que le recours, pour autant qu’il soit recevable, est manifestement mal fondé et doit être rejeté ; Attendu, au vu du résultat de la procédure, que les frais judiciaires doivent être mis à charge de la recourante qui succombe (art. 106 CPC) ; il n’est pas alloué de dépens à l’intimée qui n’est pas intervenue dans la procédure ; PAR CES MOTIFS La présidente de la Cour civile rejette le recours, dans la mesure de sa recevabilité ; met les frais de la procédure de recours, par CHF 750.-, à charge de la recourante et les prélève sur l’avance effectuée ; dit qu’il n’est pas alloué de dépens ; informe les parties des voie et délai de recours selon avis ci-après ; ordonne la notification du présent arrêt aux parties ainsi qu’à la juge civile. Porrentruy, le 20 février 2024 La présidente : La greffière : Nathalie Brahier Julie Comte</w:t>
      </w:r>
    </w:p>
    <w:p>
      <w:r>
        <w:rPr>
          <w:b/>
        </w:rPr>
        <w:t>E. 6</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