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4 vom 11. Juli 2017</w:t>
      </w:r>
    </w:p>
    <w:p>
      <w:r>
        <w:t>JU Tribunal cantonal, 2017-07-11, DE</w:t>
      </w:r>
    </w:p>
    <w:p>
      <w:r>
        <w:rPr>
          <w:b/>
        </w:rPr>
        <w:t xml:space="preserve">Quelle: </w:t>
      </w:r>
      <w:r>
        <w:t>https://mcp.opencaselaw.ch/entscheid/ju_gerichte_CC_2017_4</w:t>
      </w:r>
    </w:p>
    <w:p>
      <w:r>
        <w:t>FR: JU_GERICHTE CC 2017 4 du 11 juillet 2017</w:t>
      </w:r>
    </w:p>
    <w:p>
      <w:r>
        <w:t>IT: JU_GERICHTE CC 2017 4 del 11 luglio 2017</w:t>
      </w:r>
    </w:p>
    <w:p>
      <w:pPr>
        <w:pStyle w:val="Heading2"/>
      </w:pPr>
      <w:r>
        <w:t>Regeste</w:t>
      </w:r>
    </w:p>
    <w:p>
      <w:r>
        <w:t>Représentation à titre professionnel dans les procédures de mainlevée d'opposition. | mainlevéee provisoire de l\x27opposition</w:t>
      </w:r>
    </w:p>
    <w:p>
      <w:pPr>
        <w:pStyle w:val="Heading2"/>
      </w:pPr>
      <w:r>
        <w:t>Erwägungen</w:t>
      </w:r>
    </w:p>
    <w:p>
      <w:r>
        <w:rPr>
          <w:b/>
        </w:rPr>
        <w:t>E. 2</w:t>
      </w:r>
    </w:p>
    <w:p>
      <w:r>
        <w:t>Vu la réponse du 6 avril 2017 aux termes de laquelle l'intimée, agissant par la fiduciaire, conclut au rejet du recours, à la confirmation de la décision attaquée, sous suite des frais et dépens ; elle relève en préambule que la recourante avait uniquement conclut en première instance au rejet de la requête dans sa réponse de sorte que sa conclusion tendant à l'irrecevabilité de la requête est une conclusion nouvelle irrecevable ; sur le fond, elle allègue que lorsqu'un canton n'a pas fait usage de la compétence conférée par l'article 27 LP, la représentation est libre dans les procédures de mainlevée de l'opposition et autres procédures sommaires de droit des poursuites ; l'intimée est donc en droit de se faire représenter par la fiduciaire ; s'agissant de la compétence des signataires de la requête, il s'agit à nouveau d'une contestation nouvelle irrecevable ; leur compétence ressort en tous les cas du registre du commerce librement accessible ; Vu la prise de position de la recourante du 21 avril 2017, laquelle conteste la légitimité de la fiduciaire de représenter l'intimée en procédure de recours ; s'agissant de la validité de la représentation, elle doit s'examiner d'office par le tribunal ; il serait, selon la recourante, choquant que la fiduciaire puisse représenter une autre personne et ester en justice par le biais de deux personnes ayant pouvoir de la représenter, mais pas les qualités nécessaires et les connaissances utiles en droit ; la recourante conteste ainsi les compétences des personnes signataires de la requête, de même que leur compétence individuelle ; Attendu que la Cour civile est compétente pour connaître des recours et appels formés contre les décisions du juge civil de première instance (art. 4 al. 1 LiCPC) ; Attendu qu'en vertu de l'article 319 let. a CPC, le recours est recevable contre les décisions ne pouvant faire l'objet d'un appel ; l'appel étant irrecevable contre les décisions de mainlevée, la voie du recours est donc ouverte au cas présent (art. 309 let. b ch. 3 CPC) ; Attendu que, pour le surplus, le recours a été introduit dans les forme et délai légaux (art. 130 al. 1 et 321 CPC) et qu'il convient donc d'entrer en matière ; Attendu que la représentation à titre professionnel des parties est réglée à l'article 68 al. 2 CPC ; en dérogation au monopole des avocats (art. 68 al. 2 let. a CPC), l'article 68 al. 2 let. c CPC prévoit que les représentants professionnels au sens de l'article 27 LP sont habilités à représenter les parties dans les affaires soumises à la procédure sommaire en vertu de l'article 251, soit en particulier dans les procédures de mainlevée d'opposition (art. 251 let. a CPC) ; il s'ensuit que l'article 27 LP s'applique désormais également à la représentation professionnelle des plaideurs dans le cadre de ces procédures judiciaires (ATF 138 III 396 conisd. 3.4) ; Attendu que l'article 27 al. 1 LP prévoit que les cantons peuvent réglementer la représentation professionnelle des intéressés à la procédure d'exécution forcée ; le législateur jurassien n'a pas fait usage de cette compétence (cf. not. LiLP ; RSJU 281.1) ; Attendu, s’agissant des représentants professionnels au sens de l’article 27 LP, que le Tribunal fédéral a précisé que les cantons sont toujours compétents pour déterminer qui peut l’exercer (par exemple seuls les agents d’affaires, ou les avocats des assurances de protection juridique, à l’exception des sociétés de recouvrement) et donc pour définir le cercle des</w:t>
      </w:r>
    </w:p>
    <w:p>
      <w:r>
        <w:rPr>
          <w:b/>
        </w:rPr>
        <w:t>E. 3</w:t>
      </w:r>
    </w:p>
    <w:p>
      <w:r>
        <w:t>personnes autorisées à représenter en procédure sommaire ; toutefois, si les cantons ne font pas usage de leur compétence, la représentation professionnelle dans les affaires de LP peut être exercée sans restriction (ATF 138 III 396 consid. 3 ; TF 5A_758/2016 du 14 février 2017 consid. 4.3.1 et les réf. citées), ce qui permet d’admettre en tant que représentants professionnels toutes les personnes (physiques et morales) ayant l’exercice des droits civils (Message du Conseil fédéral du 29 octobre 2014 concernant la modification de la loi fédérale sur la poursuite pour dettes et la faillite [représentation professionnelle dans une procédure d’exécution forcée], FF 2014 8505, p. 8510) ; Attendu qu'à défaut de législation spécifique jurassienne en matière de représentation professionnelle au sens de l'article 27 LP, la représentation professionnelle est libre dans les procédures sommaires selon l'article 251 CPC ; il s'ensuit que la fiduciaire est habilitée à représenter l'intimée dans le cadre de la présente procédure de mainlevée, que ce soit devant le juge civil ou dans la procédure de recours ; le grief de la recourante doit dès lors être rejeté ; Attendu que la recourante fait encore valoir que la compétence des signataires de la requête de mainlevée n'est pas prouvée par pièce ; Attendu que le représentant doit justifier de ses pouvoirs par une procuration (art. 68 al. 3 CPC) ; l’intimée a produit une telle procuration en première instance, dont la validité n’a pas été remise en cause par la recourante ; cette dernière ne saurait, sans violer le principe de la bonne foi (art. 52 CPC), contester sa validité uniquement en procédure de recours ; en tous les cas, la requête de mainlevée a été signée par deux personnes de la fiduciaire bénéficiant du pouvoir de signature à deux à la date du dépôt de la requête de mainlevée selon les indications figurant au registre du commerce accessible par internet, qui sont des faits notoires que le juge civil et la Cour de céans peuvent librement prendre en compte (ATF 138 II 557 consid. 6.2 ; TF 5A_731/2016 du 20 décembre 2016 consid. 4.1, 4A_509/2014 du 4 février 2015 consid. 2.1) ; Attendu que le recours doit être rejeté sans qu'il ne soit dès lors nécessaire d'examiner les arguments soulevés par l'intimée ; Attendu qu'au vu de ce qui précède, les frais judiciaires de la procédure de recours doivent être mis à la charge de la recourante qui succombe ; une indemnité de dépens, fixée à CHF 30.-, est allouée à l'intimée pour la seconde instance (art. 106 CPC) ; PAR CES MOTIFS LA COUR CIVILE rejette le recours ; partant,</w:t>
      </w:r>
    </w:p>
    <w:p>
      <w:r>
        <w:rPr>
          <w:b/>
        </w:rPr>
        <w:t>E. 4</w:t>
      </w:r>
    </w:p>
    <w:p>
      <w:r>
        <w:t>met les frais judiciaires fixés à CHF 450.- à la charge de la recourante, à prélever sur son avance ; alloue à l'intimée une indemnité de dépens de CHF 30.- pour la présente procédure de recours, à payer par la recourante ; informe les parties des voie et délai de recours selon avis ci-après ; ordonne la notification du présent arrêt aux parties ainsi qu’au juge civil. Porrentruy, le 11 juillet 2017 AU NOM DE LA COUR CIVILE Le président : La greffière : Jean Moritz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w:t>
      </w:r>
    </w:p>
    <w:p>
      <w:r>
        <w:rPr>
          <w:b/>
        </w:rPr>
        <w:t>E. 5</w:t>
      </w:r>
    </w:p>
    <w:p>
      <w:r>
        <w:t>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