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83 vom 5. November 2021</w:t>
      </w:r>
    </w:p>
    <w:p>
      <w:r>
        <w:t>JU Tribunal cantonal, 2021-11-05, DE</w:t>
      </w:r>
    </w:p>
    <w:p>
      <w:r>
        <w:rPr>
          <w:b/>
        </w:rPr>
        <w:t xml:space="preserve">Quelle: </w:t>
      </w:r>
      <w:r>
        <w:t>https://mcp.opencaselaw.ch/entscheid/ju_gerichte_ADM_2021_83</w:t>
      </w:r>
    </w:p>
    <w:p>
      <w:r>
        <w:t>FR: JU_GERICHTE ADM 2021 83 du 5 novembre 2021</w:t>
      </w:r>
    </w:p>
    <w:p>
      <w:r>
        <w:t>IT: JU_GERICHTE ADM 2021 83 del 5 novembre 2021</w:t>
      </w:r>
    </w:p>
    <w:p>
      <w:pPr>
        <w:pStyle w:val="Heading2"/>
      </w:pPr>
      <w:r>
        <w:t>Regeste</w:t>
      </w:r>
    </w:p>
    <w:p>
      <w:r>
        <w:t>Art. 5 LAT - 111ss LCAT - Contribution de plus-value</w:t>
      </w:r>
    </w:p>
    <w:p>
      <w:pPr>
        <w:pStyle w:val="Heading2"/>
      </w:pPr>
      <w:r>
        <w:t>Erwägungen</w:t>
      </w:r>
    </w:p>
    <w:p>
      <w:r>
        <w:rPr>
          <w:b/>
        </w:rPr>
        <w:t>E. 2</w:t>
      </w:r>
    </w:p>
    <w:p>
      <w:r>
        <w:t>Dite expertise a été réalisée par B.________, architecte et directrice de C.________ SA. Suite à l’affectation de la parcelle no 260 en zone mixte, l’experte a fixé la plus- value foncière à CHF 123'500.-, retenant que la valeur vénale du terrain en zone d’activités AAa s’élevait à CHF 58'650.- et à CHF 182'150.- en zone mixte MA. Un projet de décision a été transmis à la Commune de Courtedoux qui a pris position le 28 janvier 2021. C. Par décision du 19 février 2021, confirmée sur opposition le 13 avril 2021, l’intimé a fixé la contribution de plus-value à CHF 24'700.- pour la parcelle litigieuse en faisant siennes les conclusions de l’expertise. Cette somme représente le taux de 20% de la plus-value de CHF 123'500.-. D. Par mémoire du 12 mai 2021, la recourante a interjeté recours contre cette décision auprès de la Cour de céans, concluant principalement à l’annulation de la décision sur opposition et au renvoi de la cause à l’intimé pour complément d’instruction et nouvelle décision, sous suite de frais et dépens. A titre subsidiaire, elle conclut à l’annulation de la décision sur opposition et à la fixation de la contribution sur la plus- value à tel montant à dire de justice, sous suite des frais et dépens. Elle conteste la méthode utilisée pour l’estimation de la plus-value, estimant que la méthode comparative est la meilleure pour déterminer la plus-value, alors que l’expertise a utilisé la méthode par réversion. Se fondant sur le courrier de la commune relevant de grandes disparités de traitement entre les propriétaires, ce qui supprime toute objectivité dans l’évaluation de la valeur, elle requiert la production des autres évaluations. Elle estime en outre l’estimation non pertinente, dans la mesure où l’expertise se borne à examiner les possibilités de construction, alors qu’elle tente depuis 2018 déjà de réaliser un hangar pour compléter l’infrastructure de son entreprise. Le rapport d’estimation part ainsi d’un postulat erroné en admettant la construction de maisons d’habitation alors que la parcelle ne s’y prête pas, cette dernière n’étant par ailleurs pas viabilisée. E. Prenant position le 15 juin 2021, l’intimé a conclu au rejet du recours et à la confirmation de sa décision sur opposition, le tout sous suite de frais et dépens. Suite au recours, elle a demandé une prise de position au bureau d’expertise, qui confirme sa précédente évaluation. F. Il sera revenu ci-après en tant que besoin sur les autres éléments du dossier. En droit : 1. La Cour administrative est compétente en vertu des art. 114a LCAT (RSJU 701.1) et 160 let. b Cpa (RSJU 175.1).</w:t>
      </w:r>
    </w:p>
    <w:p>
      <w:r>
        <w:rPr>
          <w:b/>
        </w:rPr>
        <w:t>E. 3</w:t>
      </w:r>
    </w:p>
    <w:p>
      <w:r>
        <w:t>Pour le surplus, interjeté dans les formes et délai légaux, la recourante disposant manifestement de la qualité pour recourir, le recours est recevable et il y a lieu d'entrer en matière. 2. Est litigieuse en l’espèce la plus-value fixée par l’intimé au sens des art. 5 LAT et 111 LCAT, due par la recourante en raison du changement de zone de la parcelle no 260, d’une surface de 1'369 m2, du ban de Courtedoux, laquelle est passée de la zone d’activité à la zone mixte (MA).</w:t>
      </w:r>
    </w:p>
    <w:p>
      <w:r>
        <w:rPr>
          <w:b/>
        </w:rPr>
        <w:t>E. 3.1</w:t>
      </w:r>
    </w:p>
    <w:p>
      <w:r>
        <w:t>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w:t>
      </w:r>
    </w:p>
    <w:p>
      <w:r>
        <w:rPr>
          <w:b/>
        </w:rPr>
        <w:t>E. 3.2</w:t>
      </w:r>
    </w:p>
    <w:p>
      <w:r>
        <w:t>Selon la jurisprudence, les taxes de plus-value au sens de l’art. 5 LAT ne sont pas des impôts, parce qu’elles ne sont pas perçues sans condition, mais en raison des avantages particuliers dont les assujettis profitent en raison de mesures de planification. Elles ne peuvent pas non plus être qualifiées de charges de préférence ou de contributions, parce qu’elles ne servent pas à financer la mesure de planification concrète qui est à l’origine de l’avantage à compenser et ne sont pas fixées en fonction des dépenses nécessaires à cet effet. En cela, elles ne sont pas non plus soumises au principe de la couverture des coûts. La taxe de plus-value est bien plutôt liée à l’avantage particulier découlant de la mesure d’aménagement ; elle apparaît comme le corollaire de l’indemnité due pour l’idée d’égalité de traitement et d’équité.</w:t>
      </w:r>
    </w:p>
    <w:p>
      <w:r>
        <w:rPr>
          <w:b/>
        </w:rPr>
        <w:t>E. 3.3</w:t>
      </w:r>
    </w:p>
    <w:p>
      <w:r>
        <w:t>Le principe de la légalité (art. 36 al. 1 Cst.) revêt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 réserve de certains assouplissements (TF 1C_184/2014 du 23 février 2015 consid. 2.3).</w:t>
      </w:r>
    </w:p>
    <w:p>
      <w:r>
        <w:rPr>
          <w:b/>
        </w:rPr>
        <w:t>E. 3.4</w:t>
      </w:r>
    </w:p>
    <w:p>
      <w:r>
        <w:t>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des contributions qui vont au-delà des exigences découlant du régime précité. Ils bénéficient d’une marge de manœuvre étendue pour l’élaboration d’un tel régime élargi (POLTIER, Commentaire pratique LAT, no 34 ad art. 5).</w:t>
      </w:r>
    </w:p>
    <w:p>
      <w:r>
        <w:rPr>
          <w:b/>
        </w:rPr>
        <w:t>E. 3.5</w:t>
      </w:r>
    </w:p>
    <w:p>
      <w:r>
        <w:t>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l’article 5 al. 1 LAT, et rendue, respectivement parue, antérieurement à l’entrée en vigueur des nouveaux alinéas, conservent toute leur pertinence.</w:t>
      </w:r>
    </w:p>
    <w:p>
      <w:r>
        <w:rPr>
          <w:b/>
        </w:rPr>
        <w:t>E. 4</w:t>
      </w:r>
    </w:p>
    <w:p>
      <w:r>
        <w:t>Comme taxe causale, elle doit couvrir en tous cas en partie la plus-value résultant d’une mesure de planification étatique et peut être qualifiée de taxe causale indépendante des coûts (ATF 142 I 177 consid. 4.3.1, JdT 2017 I 291 et les références citées ; cf. ég. POLTIER, Commentaire pratique LAT : Planifier l’affectation, 2016, no 38 ad art. 5 ; Territoire et Environnement, Juillet no 4/13, p. 4).</w:t>
      </w:r>
    </w:p>
    <w:p>
      <w:r>
        <w:rPr>
          <w:b/>
        </w:rPr>
        <w:t>E. 4.1</w:t>
      </w:r>
    </w:p>
    <w:p>
      <w:r>
        <w:t>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w:t>
      </w:r>
    </w:p>
    <w:p>
      <w:r>
        <w:rPr>
          <w:b/>
        </w:rPr>
        <w:t>E. 4.2</w:t>
      </w:r>
    </w:p>
    <w:p>
      <w:r>
        <w:t>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 La règle est formulée de manière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w:t>
      </w:r>
    </w:p>
    <w:p>
      <w:r>
        <w:rPr>
          <w:b/>
        </w:rPr>
        <w:t>E. 4.3</w:t>
      </w:r>
    </w:p>
    <w:p>
      <w:r>
        <w:t>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5. S’agissant du choix des experts et des méthodes d’évaluation, dans un arrêt du 20 septembre 2021 (ADM 21/2020 consid. 6, publié sous https://jurisprudence.jura.ch/), la Cour de céans a posé les principes suivants.</w:t>
      </w:r>
    </w:p>
    <w:p>
      <w:r>
        <w:rPr>
          <w:b/>
        </w:rPr>
        <w:t>E. 5</w:t>
      </w:r>
    </w:p>
    <w:p>
      <w:r>
        <w:t>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 critère possible pour déterminer l'avantage majeur est celui de l'avantage pécuniaire que la mesure crée (ATF 132 II 401 consid. 2.1 et les références citées).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 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2016, no 51 ad art. 5). Les cantons restent libres d’étendre le prélèvement de la plus- value à d’autres mesures d’aménagement (Environnement et Territoire, Juillet no 4/13, p. 6s.). 4.</w:t>
      </w:r>
    </w:p>
    <w:p>
      <w:r>
        <w:rPr>
          <w:b/>
        </w:rPr>
        <w:t>E. 5.1</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w:t>
      </w:r>
    </w:p>
    <w:p>
      <w:r>
        <w:rPr>
          <w:b/>
        </w:rPr>
        <w:t>E. 5.2</w:t>
      </w:r>
    </w:p>
    <w:p>
      <w:r>
        <w:t>Le canton du Jura, comme d’autres, s’est abstenu de fixer une méthode d’estimation spécifique dans la loi, ce que le droit fédéral n’impose par ailleurs pas. Cela étant et en tout état de cause, dans leur législation, les cantons renvoient régulièrement aux méthodes dites « courantes » ou « usuelles », parmi lesquelles on peut dénombrer la méthode statistique ou comparative, la méthode des déductions ou par compte à rebours et la méthode des classes de situation. Les différentes méthodes se complètent et permettent de conforter les résultats et de les vérifier. Il apparaît équitable d’utiliser une pluralité de méthodes de calcul, ce qui devrait contribuer à définir une valeur objective, même s’il convient de garder à l’esprit qu’il s’agit d’une estimation et que, par la force des choses, celle-ci comporte des inexactitudes (PERREGAUX DUPASQUIER, Calcul de la plus-value, une pluralité de méthodes pour un résultat objectif, Inforum, Décembre 4/2020, p. 7). Dans leur tâche, il incombe ainsi aux estimateurs externes auxquels l’autorité intimée est habilitée à faire appel (art. 111c al. 2 LCAT), de recourir à la méthode qui, concrètement et compte tenu de l’ensemble des circonstances, est la plus appropriée du point de vue de l’estimation en vue d’aboutir à une valeur objective, sans qu’on ne puisse y voir une inégalité de traitement entre les appréciations.</w:t>
      </w:r>
    </w:p>
    <w:p>
      <w:r>
        <w:rPr>
          <w:b/>
        </w:rPr>
        <w:t>E. 5.3</w:t>
      </w:r>
    </w:p>
    <w:p>
      <w:r>
        <w:t>A titre préliminaire, il convient de préciser que ni la loi, ni le message ne contiennent de définition de la valeur vénale. De manière générale, doctrine et jurisprudence définissent la valeur vénale comme le prix qui peut être obtenu en cas de vente d’un bien aux conditions normales du marché et que les éléments inhabituels ou subjectifs ne sont pas pris en considération (TC FR, arrêt du 17 novembre 2020, no 604 2020 19 consid. 4.2). La valeur vénale correspond ainsi à la valeur marchande selon le Manuel suisse de l’estimateur de l’Union suisse des experts cantonaux en matière d’évaluation des immeubles (USECE) et de la Chambre suisse des experts (CSE/SVIT, 2012, p. 12). Ainsi, pour déterminer la valeur vénale de l’immeuble, l’expert utilisera les méthodes d’évaluation reconnues notamment par ce Manuel. Les méthodes à privilégier sont notamment celle de la méthode comparative ou statistique qui prend en compte les prix convenus lors de vente d’objets analogues (de même nature et qualité) dans la même région et à la même période ; les biens- fonds avec des différences trop importantes ne peuvent pas servir de comparaison. Lorsqu’il existe suffisamment d’objets comparables, les résultats obtenus sont en principe fiables ; si tel n’est pas le cas, il convient d’utiliser d’autres méthodes d’évaluation. Cette méthode est à même d’assurer une certaine égalité de traitement entre les différents objets et doit sans aucun doute être privilégiée. A défaut, peut également être utilisée la méthode de la valeur résiduelle, qui détermine la valeur vénale sur la base du calcul rétroactif de la valeur de rendement ou du prix de vente, après déduction des investissements correspondants.</w:t>
      </w:r>
    </w:p>
    <w:p>
      <w:r>
        <w:rPr>
          <w:b/>
        </w:rPr>
        <w:t>E. 6</w:t>
      </w:r>
    </w:p>
    <w:p>
      <w:r>
        <w:t>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 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 compensation équitable »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8</w:t>
      </w:r>
    </w:p>
    <w:p>
      <w:r>
        <w:t>Pour fixer le montant de la plus-value, il sera nécessaire dans certains cas de recourir à des experts pour déterminer la valeur du bien-fonds avant et après la mesure d'aménagement (JDD no 10 du 17 juin 2015, p. 464).</w:t>
      </w:r>
    </w:p>
    <w:p>
      <w:r>
        <w:rPr>
          <w:b/>
        </w:rPr>
        <w:t>E. 9</w:t>
      </w:r>
    </w:p>
    <w:p>
      <w:r>
        <w:t>Enfin, la valeur des classes de situation repose sur le constat que des objets similaires et dans une situation comparable présentent un même rapport entre la valeur du terrain et la valeur de l’ensemble de l’équipement et entre la valeur du terrain et la valeur de rendement (dans ce sens BR/DC 2/2021, p. 79 ; Manuel suisse de l’estimateur 2012, not. p. 45, 47ss, 135ss). D’autres méthodes ne sont pas exclues pour autant que l’expert explique les raisons justifiant son choix. Au moment de réaliser son rapport, il appartient à l’expert d’expliquer la méthode d’évaluation choisie, étant précisé qu’en principe la méthode comparative doit être privilégiée. L’expert précisera dans son rapport les différentes phases de la méthode et son application au cas d’espèce. En outre, si l’expert entend s’écarter de cette méthode, il en expliquera les raisons et motivera le choix d’une autre méthode. 6. En l’espèce, l’expertise du 19 octobre 2020 et son complément du 4 juin 2021 expliquent les raisons pour lesquelles la méthode comparative n’a pas pu être appliquée au cas d’espèce, en particulier parce qu’il n’y a pas suffisamment d’objets similaires à une distance suffisamment proche pour procéder à la comparaison. Ces explications sont convaincantes. La recourante ne les a par ailleurs pas contestées après avoir reçu le complément d’expertise du 4 juin 2021. Cela étant, l’experte a procédé à l’évaluation en utilisant deux approches différentes. D’une part, en se référant à la méthode des classes de situation et, d’autre part, en procédant avec la méthode rétroactive. Ces deux méthodes ont donné des résultats très proches au niveau de l’évaluation du terrain (expertise du 19 octobre 2020). L’expertise prend ensuite en compte différents éléments propres à la parcelle et qui réduisent d’autant la valeur vénale, notamment la constitution d’une servitude, la création d’accès, la déconstruction du volume bâti au sud-ouest et les frais de viabilisation de la parcelle. Elle arrive ainsi à une valeur vénale admise de CHF 43.-/m2 en zone AAa et de CHF 133.-/m2 en zone MA, soit après la viabilisation. Le complément d’expertise du 4 juin 2021 explique en outre également de manière convaincante les raisons pour lesquelles la conduite d’eau usée et le risque de ruissellement ne remettent pas en cause l’approche retenue dans la mesure où le risque de ruissellement figurant sur la carte des dangers naturels est faible sur la parcelle 260, même s’il concerne une grande partie de la parcelle. En outre, le courrier de la commune de Courtedoux du 28 janvier 2021 ne permet pas non plus de mettre en doute l’expertise dans la mesure où chaque parcelle doit faire l’objet d’une évaluation tenant compte de ses spécificités, de telle sorte que toute comparaison du résultat avec d’autres parcelles s’avère difficile. Or, au cas particulier, l’expertise est documentée, se fonde sur des méthodes reconnues, notamment s’agissant de la méthode d’évaluation choisie et a pris en compte les différents griefs soulevés par la recourante. Elle emporte valeur probante, de telle sorte que le calcul de la plus-value effectué par l’expertise, respectivement la décision de l’intimé doivent être confirmés. On ne saurait enfin retenir que la nouvelle affectation de la parcelle résultant de la modification du plan d’aménagement du 12 août 2019 est de peu d’importance au point qu’il faille considérer qu’elle ne constitue pas un avantage majeur. Le passage à la zone mixte augmente en effet les possibilités de bâtir (cf. not. art. MA1 ss du RCC), engendrant la plus-value déterminée par l’expertise.</w:t>
      </w:r>
    </w:p>
    <w:p>
      <w:r>
        <w:rPr>
          <w:b/>
        </w:rPr>
        <w:t>E. 10</w:t>
      </w:r>
    </w:p>
    <w:p>
      <w:r>
        <w:t>Les projets envisagés par les propriétaires de construire un hangar depuis plusieurs années ne sont ainsi pas pertinents pour déterminer la contribution de plus-value. 7. Au vu de ce qui précède, le recours doit être rejeté. 8. Les frais de la procédure sont mis à la charge de la recourante qui succombe (art. 219 Cpa). Il n’est pas alloué de dépens à la recourante (art. 227 Cpa), ni à l’intimé (art. 230 al. 1 Cpa). PAR CES MOTIFS LA COUR ADMINISTRATIVE rejette le recours ; met les frais de la procédure par CHF 2'000.- à la charge de la recourante, à prélever sur son avance ; n'alloue pas de dépens ; informe les parties des voies et délai de recours selon avis ci-après ; ordonne la notification du présent arrêt : à la recourante, par son mandataire, Me Manuel Piquerez, avocat à Porrentruy ; à l’intimé, le Service du développement territorial, Rue des Moulins 2, 2800 Delémont ; à la Commune de Courtedoux, par son Conseil communal, 2905 Courtedoux ; à l’Office fédéral du développement territorial (ARE), 3003 Berne. Porrentruy, le 5 novembre 2021 AU NOM DE LA COUR ADMINISTRATIVE La présidente :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