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21 vom 20. September 2021</w:t>
      </w:r>
    </w:p>
    <w:p>
      <w:r>
        <w:t>JU Tribunal cantonal, 2021-09-20, DE</w:t>
      </w:r>
    </w:p>
    <w:p>
      <w:r>
        <w:rPr>
          <w:b/>
        </w:rPr>
        <w:t xml:space="preserve">Quelle: </w:t>
      </w:r>
      <w:r>
        <w:t>https://mcp.opencaselaw.ch/entscheid/ju_gerichte_ADM_2020_21</w:t>
      </w:r>
    </w:p>
    <w:p>
      <w:r>
        <w:t>FR: JU_GERICHTE ADM 2020 21 du 20 septembre 2021</w:t>
      </w:r>
    </w:p>
    <w:p>
      <w:r>
        <w:t>IT: JU_GERICHTE ADM 2020 21 del 20 settembre 2021</w:t>
      </w:r>
    </w:p>
    <w:p>
      <w:pPr>
        <w:pStyle w:val="Heading2"/>
      </w:pPr>
      <w:r>
        <w:t>Regeste</w:t>
      </w:r>
    </w:p>
    <w:p>
      <w:r>
        <w:t>Art. 5 LAT; détermination de la plus-value, méthode d'estimation selon LCAT; expertise</w:t>
      </w:r>
    </w:p>
    <w:p>
      <w:pPr>
        <w:pStyle w:val="Heading2"/>
      </w:pPr>
      <w:r>
        <w:t>Erwägungen</w:t>
      </w:r>
    </w:p>
    <w:p>
      <w:r>
        <w:rPr>
          <w:b/>
        </w:rPr>
        <w:t>E. 2</w:t>
      </w:r>
    </w:p>
    <w:p>
      <w:r>
        <w:t>Selon le nouveau plan d’affectation, les parcelles n° 95 et 1654 (partiellement à raison de 32 m2) notamment se trouvent désormais en zone mixte A. C. Sur mandat de l’intimé, le bureau d’expertises immobilières A.________ Sàrl a réalisé une expertise pour déterminer la valeur vénale des parcelles susmentionnées et la plus-value résultant de leur affectation à la zone mixte. L’expertise du 4 juillet 2019 fixe l’augmentation de la valeur des terrains concernés à CHF 200'000.-. D. Sur la base de l’expertise, un projet de décision a été envoyé à la recourante et à la commune de Courrendlin le 6 août 2019. Par courrier du 30 août 2019, la recourante s’est opposé audit projet, de même que la commune de Courrendlin. E. L’expertise a été modifiée en date du 23 septembre 2019 estimant la plus-value réalisée par la recourante à CHF 81'000.-. F. Par décision du 24 septembre 2019, l’intimé a fixé la plus-value des surfaces de 1'442 m2 du feuillet n° 95 et 32 m2 du feuillet n° 1654 à CHF 81'000.-. La contribution due à l’Etat par la recourante s’élève ainsi à CHF 16'000.-, correspondant à 20% de la plus- value. G. Le 25 octobre 2019, la recourante a formé opposition contre la décision précitée. H. Le 12 décembre 2019, l’expert a modifié les conclusions de son expertise en déduisant du calcul les 32 m2 dans la mesure où il ne retient aucune plus-value sur cette portion du feuillet n° 1654. Il a donc conclu à une plus-value de CHF 79'000.-. I. Par décision sur opposition du 17 décembre 2019, l’intimé a partiellement admis l’opposition dans la mesure où il a annulé l’art. 3 de sa décision du 24 septembre 2019, soit renoncé à retenir une plus-value sur le feuillet n° 1654 (surface déterminante : 32 m2). Par conséquent, la plus-value résultant du classement en zone mixte A (MA) du feuillet n° 95 du ban de Courrendlin (surface déterminante : 1442 m2) s’élève à CHF 79'000.-. La contribution due à l’Etat par la recourante s’élève ainsi à CHF 15'800.-, correspondant à 20% de la plus-value. Pour le surplus, la décision du 24 septembre est confirmée. J. Le 3 février 2020, la recourante a interjeté recours contre cette décision, concluant principalement à son annulation et subsidiairement à son annulation et au renvoi de la cause à l’intimé pour nouvelle décision dans le sens des considérants, sous suite de frais et dépens. Elle conteste la valeur vénale de la parcelle n° 95 avant mise en zone, invoquant d’une part que la valeur vénale d’une zone verte ne peut pas être comparée à celle d’une zone agricole sur laquelle, en principe, aucune construction n’est autorisée, et d’autre part que l’expert aurait dû tenir compte dans son calcul du fait qu’avant le changement de zone, la parcelle n° 95 était située à raison de 1'097 m2 en zone verte et 456 m2 en zone d’utilité publique. Un montant supérieur à CHF 5.-/m2 aurait donc dû être retenu. Elle conteste également la valeur vénale de la parcelle n° 95 après mise en zone, dans la mesure où l’expert n’a pas suffisamment</w:t>
      </w:r>
    </w:p>
    <w:p>
      <w:r>
        <w:rPr>
          <w:b/>
        </w:rPr>
        <w:t>E. 2.1</w:t>
      </w:r>
    </w:p>
    <w:p>
      <w:r>
        <w:t>La recourante invoque une violation de son droit d’être entendue. Elle reproche à l’intimé d’avoir passé sous silence la question du mode de calcul de la valeur de la parcelle avant le changement de zone, se contentant d’indiquer que le montant de la plus-value a été fixé sur la base d’une expertise réalisée par un bureau spécialisé.</w:t>
      </w:r>
    </w:p>
    <w:p>
      <w:r>
        <w:rPr>
          <w:b/>
        </w:rPr>
        <w:t>E. 2.2</w:t>
      </w:r>
    </w:p>
    <w:p>
      <w:r>
        <w:t>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déduit de l'article 29 al. 2 Cst. impose notamment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IV 81 consid. 2.2 ; TF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2D_42/2016 du 3 octobre 2017 consid. 3.1).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w:t>
      </w:r>
    </w:p>
    <w:p>
      <w:r>
        <w:rPr>
          <w:b/>
        </w:rPr>
        <w:t>E. 2.3</w:t>
      </w:r>
    </w:p>
    <w:p>
      <w:r>
        <w:t>En l’espèce, contrairement à ce qu’avance la recourante, l’intimé s’est exprimé, bien que brièvement, sur le montant de la plus-value ainsi que sur la méthodologie appliquée par l’expert mandaté. Il considère qu’il ne lui appartient pas de s’écarter de l’expertise et y renvoie implicitement. Ce faisant, sans discuter de manière détaillée tous les griefs soulevés par la recourante ni réfuter expressément chacun de ceux-ci,</w:t>
      </w:r>
    </w:p>
    <w:p>
      <w:r>
        <w:rPr>
          <w:b/>
        </w:rPr>
        <w:t>E. 3</w:t>
      </w:r>
    </w:p>
    <w:p>
      <w:r>
        <w:t>tenu compte des contraintes auxquelles elle est soumise et où aucun avantage majeur ne résulte de la mesure d’aménagement. L’expertise ne tient pas compte non plus des coûts supplémentaires de construction liés au fait que la parcelle litigieuse jouxte les voies ni du fait qu’une partie de la parcelle en question se trouve dans une zone de danger résiduel d’inondation. Enfin, le fait que la rétro-évaluation de l’expert aboutit à un résultat négatif de CHF 452.-/m2 constitue une indication supplémentaire de l’absence d’un réel avantage majeur. Elle reproche également à l’intimé de mandater des experts externes sans donner d’instruction quant à la manière et/ou à la méthode à utiliser et sans veiller à ce que les calculs soient compréhensibles pour les destinataires des décisions. Une telle approche conduit à une inégalité de traitement ; elle fait notamment référence à une autre expertise réalisée pour une parcelle située dans une autre commune qui se distingue totalement de l’expertise effectuée dans le cadre de la présente procédure. La recourante reproche finalement à l’intimé d’avoir violé son droit d’être entendu dans la mesure où la décision n’est pas motivée à suffisance. K. Par mémoire de réponse du 24 avril 2020, l’intimé a conclu au rejet du recours et à la confirmation de sa décision sur opposition, sous suite de frais et dépens. En substance, l’intimé relève qu’avant la mesure d’aménagement, le bien-fonds concerné se situait uniquement en zone verte, que la zone verte n’a pas été considérée comme de la zone agricole, que des constructions et installations souterraines ou nécessaires à l’exploitation de la zone verte peuvent être autorisées mais seulement celles qui s’inscrivent dans le but de la zone verte, ce qui est négligeable sur la valeur du bien-fonds. S’agissant de la valeur vénale après mise en zone d’activité, l’intimé relève que l’expert a tenu compte des distances à observer et montre la projection du bâtiment qu’il serait possible d’ériger. Sur les surfaces où les lieux à utilisation sensible (LUS) ne sont pas autorisés, l’expert n’y a prévu qu’un entrepôt. S’agissant des coûts supplémentaires de construction liés au fait que la parcelle jouxte les voies, il n’est pas démontré que des mesures particulières devraient être prises, ce d’autant moins que la distance à la ligne CFF est respectée par le projet et que d’autres parcelles avoisinantes n’ont pas ce genre d’installations. Concernant la zone de danger résiduel d’inondation, seule une partie de la parcelle se situe dans ce secteur. Comme le précise l’art. 267 du règlement communal, les constructions sont en principe possibles sans devoir respecter d’exigences spéciales. L’intimé estime encore que s’agissant des rapports d’expertise, bien qu’ils ne soient pas présentés de manière uniforme par les différents experts mandatés, cela ne constitue pas, en soi, une violation du principe de l’égalité de traitement. Le droit d’être entendu de la recourante n’a pas été violé non plus puisque la décision litigieuse est motivée à suffisance ; la recourante a compris la portée de la décision et a d’ailleurs pu l’attaquer en se fondant sur cette motivation. L. La recourante a répliqué le 23 juin mai 2020. M. L’intimé a dupliqué le 10 décembre 2020.</w:t>
      </w:r>
    </w:p>
    <w:p>
      <w:r>
        <w:rPr>
          <w:b/>
        </w:rPr>
        <w:t>E. 4</w:t>
      </w:r>
    </w:p>
    <w:p>
      <w:r>
        <w:t>N. Il sera revenu ci-après en tant que besoin sur les autres éléments du dossier. En droit : 1. La Cour administrative est compétente en vertu des art. 114a LCAT (RSJU 701.1) et 160 let. b Cpa (RSJU 175.1). Pour le surplus, interjeté dans les formes et délai légaux, la recourante disposant manifestement de la qualité pour recourir, le recours est recevable et il y a lieu d'entrer en matière. 2.</w:t>
      </w:r>
    </w:p>
    <w:p>
      <w:r>
        <w:rPr>
          <w:b/>
        </w:rPr>
        <w:t>E. 4.1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w:t>
      </w:r>
    </w:p>
    <w:p>
      <w:r>
        <w:rPr>
          <w:b/>
        </w:rPr>
        <w:t>E. 4.2</w:t>
      </w:r>
    </w:p>
    <w:p>
      <w:r>
        <w:t>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 Comme taxe causale, elle doit couvrir en tous cas en partie la plus-value 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w:t>
      </w:r>
    </w:p>
    <w:p>
      <w:r>
        <w:rPr>
          <w:b/>
        </w:rPr>
        <w:t>E. 4.3</w:t>
      </w:r>
    </w:p>
    <w:p>
      <w:r>
        <w:t>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w:t>
      </w:r>
    </w:p>
    <w:p>
      <w:r>
        <w:rPr>
          <w:b/>
        </w:rPr>
        <w:t>E. 4.4</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w:t>
      </w:r>
    </w:p>
    <w:p>
      <w:r>
        <w:rPr>
          <w:b/>
        </w:rPr>
        <w:t>E. 4.5</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l’article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libres d’étendre le prélèvement de la plus-value à d’autres mesures d’aménagement (Environnement et Territoire, Juillet no 4/13, p. 6s.). 5.</w:t>
      </w:r>
    </w:p>
    <w:p>
      <w:r>
        <w:rPr>
          <w:b/>
        </w:rPr>
        <w:t>E. 5</w:t>
      </w:r>
    </w:p>
    <w:p>
      <w:r>
        <w:t>celui-ci a motivé de manière suffisante sa décision, de sorte qu’aucune violation du droit d’être entendu ne saurait être constatée au cas d’espèce. La recourante a par ailleurs pu contester cette décision en toute connaissance de cause. Par surabondance, il apparaît qu’une éventuelle violation du droit d’être entendu aurait en tout état de cause été réparée en l’espèce. La Cour administrative dispose du même pouvoir d’examen que l’intimé (art.33 al. 3 let. b LAT) . Par conséquent, la réparation d’une éventuelle violation du droit d’être entendu de la recourante aurait pu intervenir dans la présente procédure de recours puisqu’il ressort de ce qui précède que la recourante a pu pleinement et valablement invoquer tous ses griefs à cette occasion. En d’autres termes, la recourante n’aurait subi aucun préjudice d’une éventuelle violation du droit d’être entendu. Partant, le pouvoir de cognition de la Cour de céans n’étant pas plus étroit que celui de l’autorité inférieure, un renvoi à l’intimé n’aurait pas trouvé de justification au cas d’espèce. 3. Est litigieuse en l’espèce la plus-value fixée par l’intimé au sens des art. 5 LAT et 111 LCAT due par la recourante en raison du changement de zone d’une partie (1'442 m2) de la parcelle no 95 du ban de Courrendlin. 4.</w:t>
      </w:r>
    </w:p>
    <w:p>
      <w:r>
        <w:rPr>
          <w:b/>
        </w:rPr>
        <w:t>E. 5.1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w:t>
      </w:r>
    </w:p>
    <w:p>
      <w:r>
        <w:rPr>
          <w:b/>
        </w:rPr>
        <w:t>E. 5.2</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w:t>
      </w:r>
    </w:p>
    <w:p>
      <w:r>
        <w:rPr>
          <w:b/>
        </w:rPr>
        <w:t>E. 5.3</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Deux dispositions prévoient par ailleurs des exemptions au régime de la compensation. L’art. 111b al. 4 LCAT dispose que les collectivités publiques et leurs établissements ne sont pas assujettis à la contribution lorsque la plus-value est réalisée sur un bien-fonds leur appartenant et nécessaire à l'accomplissement de tâches publiques. L’art. 111e LCAT prévoit quant à lui que le Gouvernement peut exonérer de la plus-value les personnes qui aliènent leur bien-fonds sans bénéfice dans un but d'utilité publique ou lorsque le bien-fonds appartient à une personne chargée d'une tâche publique et qu'il est affecté à cette tâche.</w:t>
      </w:r>
    </w:p>
    <w:p>
      <w:r>
        <w:rPr>
          <w:b/>
        </w:rPr>
        <w:t>E. 6</w:t>
      </w:r>
    </w:p>
    <w:p>
      <w:r>
        <w:t>Les cantons peuvent prescrire la mention au registre foncier du versement d’indemnités dues par suite de restrictions au droit de propriété (al. 3).</w:t>
      </w:r>
    </w:p>
    <w:p>
      <w:r>
        <w:rPr>
          <w:b/>
        </w:rPr>
        <w:t>E. 6.1</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w:t>
      </w:r>
    </w:p>
    <w:p>
      <w:r>
        <w:rPr>
          <w:b/>
        </w:rPr>
        <w:t>E. 6.2</w:t>
      </w:r>
    </w:p>
    <w:p>
      <w:r>
        <w:t>Le canton du Jura, comme d’autres, s’est abstenu de fixer une méthode d’estimation spécifique dans la loi, ce que le droit fédéral n’impose par ailleurs pas. Cela étant et en tout état de cause, dans leur législation, les cantons renvoient régulièrement aux méthodes dites « courantes » ou « usuelles », parmi lesquelles on peut dénombrer la méthode statistique ou comparative, la méthode des déductions ou par compte à rebours et la méthode des classes de situation. Les différentes méthodes se complètent et permettent de conforter les résultats et de les vérifier. Il apparaît équitable d’utiliser une pluralité de méthodes de calcul, ce qui devrait contribuer à définir une valeur objective, même s’il convient de garder à l’esprit qu’il s’agit d’une estimation et que, par la force des choses, celle-ci comporte des inexactitudes (PERREGAUX DUPASQUIER, Calcul de la plus-value, une pluralité de méthodes pour un résultat objectif, Inforum, Décembre 4/2020, p. 7). Dans leur tâche, il incombe ainsi aux estimateurs externes auxquels l’autorité intimée est habilitée à faire appel (art. 111c al. 2 LCAT), de recourir à la méthode qui, concrètement et compte tenu de l’ensemble des circonstances, est la plus appropriée du point de vue de l’estimation en vue d’aboutir à une valeur objective, sans qu’on ne puisse y voir une inégalité de traitement entre les appréciations.</w:t>
      </w:r>
    </w:p>
    <w:p>
      <w:r>
        <w:rPr>
          <w:b/>
        </w:rPr>
        <w:t>E. 6.3</w:t>
      </w:r>
    </w:p>
    <w:p>
      <w:r>
        <w:t>A titre préliminaire, il convient de préciser que ni la loi, ni le message ne contiennent de définition de la valeur vénale. De manière générale, doctrine et jurisprudence définissent la valeur vénale comme le prix qui peut être obtenu en cas de vente d’un bien aux conditions normales du marché et que les élément inhabituels ou subjectifs ne sont pas pris en considération (TC FR, arrêt du 17 novembre 2020, no 604 2020 19 consid. 4.2). La valeur vénale correspond ainsi à la valeur marchande selon le Manuel suisse de l’estimateur de l’Union suisse des experts cantonaux en matière d’évaluation des immeubles (USECE) et de la Chambre suisse des experts (CSE/SVIT, 2012 p. 12). Ainsi, pour déterminer la valeur vénale de l’immeuble, l’expert utilisera les méthodes d’évaluation reconnues notamment par ce Manuel.</w:t>
      </w:r>
    </w:p>
    <w:p>
      <w:r>
        <w:rPr>
          <w:b/>
        </w:rPr>
        <w:t>E. 6.4</w:t>
      </w:r>
    </w:p>
    <w:p>
      <w:r>
        <w:t>En l’occurrence, l’expert a utilisé deux méthodes dans son expertise : celle de la valeur résiduelle et celle de la méthode comparative. Il arrive à la conclusion que la méthode de la valeur résiduelle conduit à l’obtention d’une valeur non cohérente et irrationnelle et a privilégié la méthode de la valeur comparative au niveau du résultat. Son choix n’apparaît pas critiquable et respecte les développements précités. En outre, l’expert certifie à son chiffre 2 qu’il réalise son mandat en parfaite neutralité, impartialité et indépendance et confirme également qu’aucun conflit d’intérêts n’existe à la date de l’expertise. Il est membre de la Chambre suisse des experts en estimations immobilières (CSE/SVIT) ; il est donc soumis à son code de déontologie. Pour fonder son appréciation, il a notamment pris des renseignements auprès du responsable des valeurs officielles du canton. Au moment de déterminer la méthode de calcul, l’expert explique que plusieurs méthodes sont envisageables, dont la méthode de la valeur résiduelle et celle par comparaison directe, deux méthodes qu’il va développer pour pouvoir finalement définir laquelle est la plus appropriée en fonction des résultats et du marché.</w:t>
      </w:r>
    </w:p>
    <w:p>
      <w:r>
        <w:rPr>
          <w:b/>
        </w:rPr>
        <w:t>E. 7.1</w:t>
      </w:r>
    </w:p>
    <w:p>
      <w:r>
        <w:t>De jurisprudence constante, l’arbitraire (art. 9 Cst.) ne résulte pas du seul fait qu’une autre solution serait envisageable ou même préférable. Une décision est arbitraire lorsqu’elle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(TF 5A_91/2019 du 4 février 2020 consid. 2.2 et les références citées).</w:t>
      </w:r>
    </w:p>
    <w:p>
      <w:r>
        <w:rPr>
          <w:b/>
        </w:rPr>
        <w:t>E. 7.2.1</w:t>
      </w:r>
    </w:p>
    <w:p>
      <w:r>
        <w:t>Contrairement à ce que soutient la recourante, la zone verte n’a pas été considérée comme de la zone agricole. L’art. 54 al. 2 LCAT mentionne que dans la zone verte ne peuvent être autorisés que des constructions et installations souterraines ou des bâtiments et installations nécessaires à l’exploitation de ladite zone, à condition qu’ils ne portent pas atteinte au but de celle-ci. Concrètement, il ne reste donc que les construction et installations qui s’inscrivent dans le but de la zone verte, ce qui est négligeable sur la valeur du bien-fonds. L’art. 54 al. 2 LCAT précise que dans son règlement de construction, une commune peut autoriser, à ces mêmes conditions, l’érection de bâtiments de petites dimensions au sens de l’art. 27 LCAT.</w:t>
      </w:r>
    </w:p>
    <w:p>
      <w:r>
        <w:rPr>
          <w:b/>
        </w:rPr>
        <w:t>E. 7.2.2</w:t>
      </w:r>
    </w:p>
    <w:p>
      <w:r>
        <w:t>Contrairement à ce qu’affirme la recourante, avant la mesure d’aménagement, le bien-fonds si situait uniquement en zone verte, selon ce qui ressort des modifications de l’aménagement local intervenues à Courrendlin entre le 23 novembre 2001 et le</w:t>
      </w:r>
    </w:p>
    <w:p>
      <w:r>
        <w:rPr>
          <w:b/>
        </w:rPr>
        <w:t>E. 7.3</w:t>
      </w:r>
    </w:p>
    <w:p>
      <w:r>
        <w:t>S’agissant de l’affectation du bien-fonds après la mesure, la recourante ne saurait être suivie lorsqu’elle invoque que l’expert n’a pas suffisamment tenu compte des contraintes auxquelles la parcelle n° 95 est soumise. Selon la décision d’approbation rendue le 18 août 2018, le passage en zone MA a été réalisé en vue de construire un point de vente, des bureaux, des vestiaires ainsi qu’un atelier-entrepôt en lien avec les activités d’un horticulteur-paysagiste. L’expert mentionne les distances à observer par rapport à la ligne à haute tension (LHT) et à la ligne CFF. Il mentionne également que dans la zone de 30 mètres depuis la ligne à haute tension, les logements à usages sensibles (LUS) ne sont pas autorisés. Pour cette raison, la recourante estime qu’il n’existe aucun avantage majeur résultant de la mesure d’aménagement. L’expert n’a pourtant pas ignoré dans son expertise le fait qu’une partie de la surface concernée ne se prête pas à accueillir des LUS. Notamment, l’expert ne tient compte que de 56% du potentiel constructible. 14 Un entrepôt est prévu sur la surface où les LUS ne sont pas autorisés, et non un logement ou des bureaux par exemple. Quant au fait que la parcelle litigieuse jouxte les voies de chemins de fer, cela n’implique pas forcément des coûts supplémentaires de construction de parois de type « Chaboury » comme le soulève la recourante, dans la mesure où il suffit que la distance à la ligne CFF soit respectée. D’ailleurs, d’autres parcelles avoisinantes ne bénéficient pas de ce genre d’installation. Dans la mesure où il s’agit d’une estimation (cf. consid. 6.1), on ne saurait prétendre que l’expertise retient des possibilités de construire qui n’apparaissent en l’état pas irréalistes. Quant au fait qu’une partie de la parcelle en question se trouve dans une zone de danger résiduel d’inondation, il convient de faire application de l’art. 267 du Règlement communal sur les constructions, lequel prévoit que dans le secteur de danger résiduel, si de faibles dégâts résultant de dangers naturels ne sont pas totalement exclus, les constructions sont en principe possibles sans devoir respecter d'exigences spéciales.</w:t>
      </w:r>
    </w:p>
    <w:p>
      <w:r>
        <w:rPr>
          <w:b/>
        </w:rPr>
        <w:t>E. 7.4</w:t>
      </w:r>
    </w:p>
    <w:p>
      <w:r>
        <w:t>Par conséquent, les prétendus défauts de l'expertise invoqués par la recourante ne sont pas propres à mettre en doute l'exactitude ni le sérieux de l'expertise. Il ne peut être reproché à l’intimé d’avoir violé le principe de l’égalité de traitement ou d’avoir fait preuve d’arbitraire. Il convient ainsi de s'en tenir aux conclusions de cette dernière, soit à une plus-value de la portion litigieuse de la parcelle n° 95 de CHF 79’000.- et à une contribution due par la recourante à l’intimé de CHF 15'800.-. 8. Au vu de ce qui précède, le recours doit être rejeté. 9. Il n’est pas perçu de frais (art. 223 al. 1 Cpa) ni alloué de dépens (art. 230 al. 1 Cpa). PAR CES MOTIFS LA COUR ADMINISTRATIVE rejette le recours ; dit qu’il n’est pas perçu de frais judiciaires ; n'alloue pas de dépens ; 15 informe les parties des voies et délai de recours selon avis ci-après ; ordonne la notification du présent arrêt : à la recourante, Chemins de fer fédéraux suisses CFF SA , Hilfikerstrasse 1, 3014 Berne ; à l’intimé, le Service du développement territorial, Rue des Moulins 2, 2800 Delémont ; à la Commune de Courrendlin, Route de Châtillon 15, 2830 Courrendlin ; à l’Office fédéral du développement territorial (ARE), 3003 Berne. Porrentruy, le 20 septembre 2021 AU NOM DE LA COUR ADMINISTRATIVE La présidente : La greffière: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8</w:t>
      </w:r>
    </w:p>
    <w:p>
      <w:r>
        <w:t>(let.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 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«compensation équitable»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9</w:t>
      </w:r>
    </w:p>
    <w:p>
      <w:r>
        <w:t>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10</w:t>
      </w:r>
    </w:p>
    <w:p>
      <w:r>
        <w:t>6. La recourante se plaint d’une violation du droit à l’égalité de traitement en lien avec le choix des experts externes et de la méthode d’évaluation choisie.</w:t>
      </w:r>
    </w:p>
    <w:p>
      <w:r>
        <w:rPr>
          <w:b/>
        </w:rPr>
        <w:t>E. 11</w:t>
      </w:r>
    </w:p>
    <w:p>
      <w:r>
        <w:t>Les méthodes à privilégier sont notamment celle de la méthode comparative ou statistique qui prend en compte les prix convenus lors de vente d’objets analogues (de même nature et qualité) dans la même région et à la même période ; les biens- fonds avec des différences trop importantes ne peuvent pas servir de comparaison. Lorsqu’il existe suffisamment d’objets comparables, les résultats obtenus sont en principe fiables ; si tel n’est pas le cas, il convient d’utiliser d’autres méthodes d’évaluation. Cette méthode est à même d’assurer une certaine égalité de traitement entre les différents objets et doit sans aucun doute être privilégiée. A défaut, peut également être utilisée la méthode de la valeur résiduelle qui détermine la valeur vénale sur la base du calcul rétroactif de la valeur de rendement ou du prix de vente, après déduction des investissements correspondants. Enfin, la valeur des classes de situation repose sur le constat que des objets similaires et dans une situation comparable présentent un même rapport entre la valeur du terrain et la valeur de l’ensemble de l’équipement et entre la valeur du terrain et la valeur de rendement (dans ce sens BR/DC 2/2021, p. 79 ; Manuel suisse de l’estimateur 2012, not. p. 45, 47ss, 135ss).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 Ainsi, dans la mesure où l’expert se fonde sur des méthode d’évaluation reconnues, on ne saurait suivre la recourante qui conteste le fait de confier les expertises à des experts indépendants, ce que prévoit expressément d’ailleurs la législation jurassienne précitée. De même, peu importe qu’il s’agisse d’experts différents qui procèdent à l’estimation des biens de la recourante.</w:t>
      </w:r>
    </w:p>
    <w:p>
      <w:r>
        <w:rPr>
          <w:b/>
        </w:rPr>
        <w:t>E. 12</w:t>
      </w:r>
    </w:p>
    <w:p>
      <w:r>
        <w:t>Par le biais de la première méthode, l’expert arrive à une valeur négative du terrain (CHF -452.-/m2) ce qui est déconcertant mais qui s’explique par le fait que l’IUS maximal n’est pas pleinement utilisé, l’exploitation prévue (exploitation d’une entreprise de paysagisme) requiert de grands volumes mais peu de surfaces à disposition et la situation ainsi que le marché ne permettent pas de louer les surfaces à un prix suffisamment élevé pour arriver à une valeur de terrain positive. Dans la mesure où le fait d’augmenter les droits à bâtir d’une parcelle doit logiquement mener à une plus-value du terrain et non pas à diminuer sa valeur et encore moins conclure à une valeur négative, c’est la méthode de la valeur comparative qui permet à l’expert de trouver une valeur cohérente avec le marché. Il sied de rappeler ici qu’il s’agit d’établir une estimation, soit d’avoir un ordre de grandeur et non un chiffre exact. C’est dans ce cadre que l’expert a conclu à un prix de CHF 5.-/m2 avant le changement de zone et de CHF 60/m2 après le changement de zone, aboutissant à une plus-value de CHF 79'000.- concernant les 1'442 m2 de la parcelle n° 95. Ces différents éléments exposés par l’expert sont suffisamment sérieux pour écarter les affirmations et arguments de la recourante, qui n’allègue ni ne démontre que la méthode utilisée, usuelle selon l'expert, serait inapplicable au cas d'espèce ou contraire à une règle unanimement admise ou à des usages en matière d'expertise immobilière. 7. La recourante estime que la décision litigieuse se fonde sur un résultat d’expertise arbitraire. Elle conteste la valeur vénale de la parcelle n° 95 avant et après mise en zone.</w:t>
      </w:r>
    </w:p>
    <w:p>
      <w:r>
        <w:rPr>
          <w:b/>
        </w:rPr>
        <w:t>E. 13</w:t>
      </w:r>
    </w:p>
    <w:p>
      <w:r>
        <w:t>Si l’art. 27 LCAT autorise l’installation de constructions amovibles et de bâtiments de petites dimensions, tels que cabanes de jardin, kiosques, garages, etc., ainsi que de petits travaux de génie civil, tels que puits au jour et accès aux garages, l’autorisation peut être révoquée en tout temps ; il s’agit de dérogations, ce qui engendre également peu d’influence sur l’estimation de la valeur du bien-fonds. Si aucune construction n’est en principe autorisée en zone agricole, des dérogations selon les art. 24 ss LAT sont théoriquement aussi possibles, sans que cela ne justifie pour autant de tenir compte de ces possibilités de dérogations pour estimer la valeur du terrain en zone agricole. Dans le rapport d’expertise du 4 juillet 2019, la valeur vénale avant classement en zone mixte avait d’abord été estimée à CHF 2.-/m2, ce qui avait été jugé trop faible. À Courrendlin, la zone agricole est estimée à environ CHF 3.30/m2, ce qui démontre que la valeur retenue en zone verte est supérieure (par CHF 5.-/m2) et que cette zone n’a pas été purement et simplement assimilée à de la zone agricole.</w:t>
      </w:r>
    </w:p>
    <w:p>
      <w:r>
        <w:rPr>
          <w:b/>
        </w:rPr>
        <w:t>E. 18</w:t>
      </w:r>
    </w:p>
    <w:p>
      <w:r>
        <w:t>août 2017. L’attestation de valeurs officielles figurant dans le rapport d’expertise et produite par la recourante ne remet pas en cause la mesure d’aménagement entrée en force et est sans influence sur la présente procédure. Interpellé par l’intimé, le signataire de ce document a expliqué que l’attestation de valeurs officielles se fonde sur le plan d’aménagement local en vigueur en 1995 (à cette époque, le feuillet se trouvait en zone verte et partiellement en zone d’utilité publique) et ne tient pas compte des modifications intervenues ultérieurement sur la nature du terrain. Il s’ensuit que la valeur estimée à CHF 5.-/m2 ne peut être considérée comme étant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