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78630/12 vom 11. Oktober 2022</w:t>
      </w:r>
    </w:p>
    <w:p>
      <w:r>
        <w:t>Hudoc Ch, 2022-10-11, FR</w:t>
      </w:r>
    </w:p>
    <w:p>
      <w:r>
        <w:rPr>
          <w:b/>
        </w:rPr>
        <w:t xml:space="preserve">Quelle: </w:t>
      </w:r>
      <w:r>
        <w:t>https://mcp.opencaselaw.ch/entscheid/hudoc_ch_78630_12</w:t>
      </w:r>
    </w:p>
    <w:p>
      <w:r>
        <w:t>FR: CourEDH 78630/12 du 11 octobre 2022</w:t>
      </w:r>
    </w:p>
    <w:p>
      <w:r>
        <w:t>IT: CorteEDU 78630/12 del 11 ottobre 2022</w:t>
      </w:r>
    </w:p>
    <w:p>
      <w:pPr>
        <w:pStyle w:val="Heading2"/>
      </w:pPr>
      <w:r>
        <w:t>Regeste</w:t>
      </w:r>
    </w:p>
    <w:p>
      <w:r>
        <w:t>Exception préliminaire rejetée (Art. 35) Conditions de recevabilité;(Art. 35-3-a) Ratione materiae;Violation de l'article 14+8-1 - Interdiction de la discrimination (Article 14 - Discrimination) (Article 8-1 - Respect de la vie familiale;Article 8 - Droit au respect de la vie privée et familiale);Dommage matériel - demande rejetée (Article 41 - Dommage matériel;Satisfaction équitable);Préjudice moral - réparation (Article 41 - Préjudice moral;Satisfaction équitable); Violation: 8;8-1;14;14+8-1</w:t>
      </w:r>
    </w:p>
    <w:p>
      <w:pPr>
        <w:pStyle w:val="Heading2"/>
      </w:pPr>
      <w:r>
        <w:t>Erwägungen</w:t>
      </w:r>
    </w:p>
    <w:p>
      <w:r>
        <w:rPr>
          <w:b/>
        </w:rPr>
        <w:t>E. 31</w:t>
      </w:r>
    </w:p>
    <w:p>
      <w:r>
        <w:t>Le requérant allègue que, contrairement à une veuve placée dans une situation analogue, il n’a plus droit à une rente de veuf depuis que sa fille cadette a atteint la majorité, et il s’estime de ce fait victime d’une discrimination. Il invoque l’article 14 de la Convention combiné avec l’article 8, qui se lisent comme suit en leurs passages pertinents : Article 14 « La jouissance des droits et libertés reconnus dans la (...) Convention doit être assurée, sans distinction aucune, fondée notamment sur le sexe (...) » Article 8 « 1. Toute personne a droit au respect de sa vie (...)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SUR L’EXCEPTION PRÉLIMINAIRE DU GOUVERNEMENT Thèses des parties Le Gouvernement</w:t>
      </w:r>
    </w:p>
    <w:p>
      <w:r>
        <w:rPr>
          <w:b/>
        </w:rPr>
        <w:t>E. 32</w:t>
      </w:r>
    </w:p>
    <w:p>
      <w:r>
        <w:t>Le Gouvernement réitère l’exception qu’il a soulevée devant la chambre (paragraphes 23 ‑ 28 de l’arrêt de la chambre) et invite la Cour à déclarer le grief tiré de l’article 14 combiné avec l’article 8 irrecevable pour incompatibilité ratione materiae avec la Convention, conformément à l’article</w:t>
      </w:r>
    </w:p>
    <w:p>
      <w:r>
        <w:rPr>
          <w:b/>
        </w:rPr>
        <w:t>E. 35</w:t>
      </w:r>
    </w:p>
    <w:p>
      <w:r>
        <w:t>Le Gouvernement se dit convaincu que la Cour ne devrait examiner sous l’angle de l’article 8 que les affaires qui présentent un lien étroit et direct entre l’octroi de la prestation sociale et la jouissance de la vie familiale, et il ajoute que ce lien est à examiner de manière objective à la lumière de la nature et du but de la prestation tels qu’ils sont déterminés par le droit et la pratique de l’État concerné.</w:t>
      </w:r>
    </w:p>
    <w:p>
      <w:r>
        <w:rPr>
          <w:b/>
        </w:rPr>
        <w:t>E. 36</w:t>
      </w:r>
    </w:p>
    <w:p>
      <w:r>
        <w:t>. Or, dans la présente affaire, où ledit lien très étroit ferait manifestement défaut, la chambre n’aurait pas expliqué pourquoi elle estimait justifié de s’écarter de son approche consistant à examiner de tels griefs systématiquement sous l’angle de l’article 1 du Protocole n o 1. Le Gouvernement réaffirme dans ce contexte que le seul et unique but de la rente de veuve et de veuf est d’épargner au survivant, en couvrant ses besoins vitaux, les difficultés financières que peut causer le décès du conjoint. Il estime que, contrairement à une allocation pour congé parental ou pour famille nombreuse, et contrairement à la conclusion formulée par la chambre au paragraphe 43 de son arrêt, cette rente n’a pas pour but de favoriser la famille et n’a non plus d’incidence sur l’organisation de la vie familiale. Preuve en est selon lui le fait que la rente de veuve peut, à certaines conditions, être versée également aux veuves qui n’ont pas d’enfant. Le Gouvernement explique par ailleurs que les frais liés à l’entretien des enfants du défunt sont couverts par les rentes d’orphelin qui leur sont accordées. Il ajoute que, dès lors que la présence d’enfants de plus de quinze ans ne complique pas l’exercice par leurs parents d’une activité professionnelle, la rente de veuf cesse d’être nécessaire à la majorité des enfants au plus tard et n’a aucune incidence sur la vie familiale qui se joue en dehors des heures de travail ou d’école. Il expose encore que la rente pour conjoint survivant prévue par le droit suisse se distingue ainsi clairement des prestations sociales que la Cour considère comme entrant dans le champ d’application de l’article 8, qui selon lui est plus restreint que celui de l’article 1 du Protocole n o 1.</w:t>
      </w:r>
    </w:p>
    <w:p>
      <w:r>
        <w:rPr>
          <w:b/>
        </w:rPr>
        <w:t>E. 37</w:t>
      </w:r>
    </w:p>
    <w:p>
      <w:r>
        <w:t>Le Gouvernement est d’avis qu’en l’espèce il n’a aucunement été démontré en quoi la suppression de la rente de veuf du requérant, à la majorité de sa fille cadette, a concrètement pesé sur sa vie familiale. Il considère en outre que cette suppression était prévisible pour le requérant et que celui ‑ ci n’a pas établi qu’il n’aurait pas pu reprendre une activité lucrative une fois que ses deux filles avaient atteint la majorité. Il estime en réalité plus vraisemblable que le versement de la rente a conditionné l’organisation familiale, c’est ‑ à ‑ dire le choix du requérant de rester au foyer, plutôt que l’inverse, et rappelle que la rente de veuf n’existait pas lorsque le requérant a perdu sa femme en 1994. Il en déduit que ni l’octroi de la rente de veuf au requérant en 1997, ni a fortiori sa suppression en 2010, n’ont revêtu un caractère familial et n’ont eu de réelles incidences sur l’organisation de la vie familiale de l’intéressé. Il est d’avis que si la suppression de la rente a eu un impact financier, celui ‑ ci n’a pu toucher que la sphère personnelle du requérant.</w:t>
      </w:r>
    </w:p>
    <w:p>
      <w:r>
        <w:rPr>
          <w:b/>
        </w:rPr>
        <w:t>E. 38</w:t>
      </w:r>
    </w:p>
    <w:p>
      <w:r>
        <w:t>. Le Gouvernement soutient ensuite que, quand la Suisse a adhéré à la Convention, il était clair que l’article 8 ne couvrait pas le droit à des prestations sociales, et que telle est encore la situation de nos jours. Il déclare que c’est en se plaçant sur le terrain de l’article 1 du Protocole n o 1 que la Cour a étendu la portée de sa protection aux prestations sociales. Il ajoute qu’il ressort entre autres d’un récent rapport du Conseil fédéral que les raisons pour lesquelles la Suisse n’a pas ratifié le Protocole n o 1 reposent sur la volonté de cet État de respecter le droit international et sur le fait que son droit interne ne couvre pas toutes les exigences déduites de cette disposition, en particulier en matière de prestations de sécurité sociale. Il expose que, un traité n’ayant de validité qu’entre les parties à celui ‑ ci, la garantie de la propriété qui découle de l’article 1 du Protocole n o 1 ne peut pas être invoquée contre l’État suisse à la faveur d’une interprétation extensive de l’article 8, car cela risquerait selon lui de contrarier la volonté souveraine de cet État et de lui imposer des obligations auxquelles il n’a volontairement pas souscrit. Il précise de plus que, selon l’article 31 § 1 de la Convention de Vienne, on ne saurait donner à un terme, par le biais d’une interprétation extensive, un effet qu’un État voulait précisément éviter en ne ratifiant pas un autre traité. Il s’ensuit selon le Gouvernement que si les faits de la présente espèce devaient, en raison de leur dimension pécuniaire, tomber sous l’empire de l’article 1 du Protocole n o 1 plutôt que de l’article 8 de la Convention, le grief du requérant devrait être exclu du champ d’application de ce dernier et être déclaré irrecevable pour incompatibilité ratione materiae avec la Convention.</w:t>
      </w:r>
    </w:p>
    <w:p>
      <w:r>
        <w:rPr>
          <w:b/>
        </w:rPr>
        <w:t>E. 39</w:t>
      </w:r>
    </w:p>
    <w:p>
      <w:r>
        <w:t>Le Gouvernement expose que l’adoption par les parties à un traité d’un protocole concernant certains sujets particuliers manifeste à l’évidence leur intention commune de faire en sorte que ceux ‑ ci ne soient pas régis par le traité originel. Pour ce qui est du Protocole n o 1, il estime que l’intention des parties transparaît clairement dans son préambule et dans son article 5 et qu’il en ressort que le Protocole n o 1 ne peut que compléter la Convention. Il argue que, même si la Convention est un instrument vivant qui vise à protéger des droits concrets et effectifs, la Cour ne saurait en dégager des droits qui en ont été sciemment exclus au départ, comme c’est le cas des droits sociaux (énoncés dans la Charte sociale européenne). Il est d’avis qu’elle ne saurait donc faire abstraction de la protection offerte par un protocole additionnel et étendre le champ d’application de l’article 8 de la Convention, voire contourner son sens ordinaire, de façon à englober les obligations découlant de l’article 1 du Protocole n o 1, et que si elle procédait de la sorte cette dernière disposition serait en quelque sorte superflue. Selon le Gouvernement, s’il n’est pas totalement exclu de considérer, comme le fait la jurisprudence de la Cour, qu’au sein d’un même protocole certaines dispositions sont englobées dans un droit énoncé dans un article de la Convention et que d’autres ne le sont pas, cela implique toutefois une interprétation conforme aux méthodes visées dans la Convention de Vienne. Le requérant</w:t>
      </w:r>
    </w:p>
    <w:p>
      <w:r>
        <w:rPr>
          <w:b/>
        </w:rPr>
        <w:t>E. 40</w:t>
      </w:r>
    </w:p>
    <w:p>
      <w:r>
        <w:t>. Le requérant expose d’abord qu’il a travaillé comme technicien textile jusqu’en 1992, puis au sein d’une compagnie d’assurances. Il ajoute qu’après le décès de son épouse en août 1994, il a cessé de travailler et s’est occupé seul de ses filles, jusqu’à ce que celles ‑ ci aient terminé leur formation et obtenu un diplôme d’une haute école. La rente de veuf, perçue à partir de 1997, et les prestations complémentaires versées lui auraient permis de se consacrer entièrement à la garde et à l’éducation de ses filles et de prendre soin d’elles. La suppression de cette rente, lorsqu’il avait cinquante ‑ sept ans, lui aurait causé de graves difficultés familiales et financières car il n’aurait plus été en mesure de trouver un emploi, en raison de son âge, de la digitalisation de sa profession et de sa longue absence du marché du travail. En parallèle, ses filles seraient quand même toujours restées à sa charge puisqu’elles n’avaient pas fini leurs études. Il lui aurait donc fallu à plusieurs reprises solliciter une aide sociale afin de pouvoir s’occuper d’elles. De plus, entre le moment où sa pension de veuf a été supprimée et les premiers versements de sa pension de vieillesse, sa vie familiale aurait été considérablement restreinte et les activités familiales habituelles n’auraient pu avoir lieu, faute d’argent. Des difficultés financières l’auraient empêché d’inviter ses filles lors d’événements familiaux, de leur offrir des cadeaux d’anniversaire et de Noël ou de partir en vacances avec elles.</w:t>
      </w:r>
    </w:p>
    <w:p>
      <w:r>
        <w:rPr>
          <w:b/>
        </w:rPr>
        <w:t>E. 41</w:t>
      </w:r>
    </w:p>
    <w:p>
      <w:r>
        <w:t>Le requérant soutient dès lors que la présente affaire touche à la notion même de vie familiale, protégée par l’article 8 de la Convention. Il estime qu’elle ne concerne pas à proprement parler le versement d’une pension, question qui serait la seule à relever de l’article 1 du Protocole n o 1, mais plutôt une différence dans le traitement de rapports familiaux identiques et concrets, qui entraîne des prestations de rente inégales. Il considère que les faits de la cause tombent donc clairement sous l’empire de l’article 8, et que le fait que cette discrimination puisse également avoir des conséquences pécuniaires ou mettre en jeu des intérêts matériels n’y change rien. Selon lui, vouloir examiner la présente affaire sous l’angle de l’article 14 combiné avec l’article 1 du Protocole n o 1, en excluant arbitrairement toute référence à sa situation familiale, reviendrait à remettre en cause la jurisprudence de la Cour. À ses yeux, de surcroît, pour que la protection de l’article 8 de la Convention s’applique conjointement avec l’article 14, il n’est nullement nécessaire qu’il y ait un lien étroit entre le paiement de la rente et la jouissance par le requérant de sa vie familiale, et encore moins qu’il y ait violation de l’article 8.</w:t>
      </w:r>
    </w:p>
    <w:p>
      <w:r>
        <w:rPr>
          <w:b/>
        </w:rPr>
        <w:t>E. 42</w:t>
      </w:r>
    </w:p>
    <w:p>
      <w:r>
        <w:t>Le requérant estime que l’argument que le Gouvernement fonde sur l’exigence d’un lien étroit entre l’octroi de la pension et la jouissance de la vie familiale n’est pas étayé par la jurisprudence de la Cour. Il argue que, quand bien même un tel lien serait nécessaire, il ne ferait pas défaut en l’espèce puisque, selon lui, la rente de conjoint survivant a pour but, d’après la législation pertinente, de protéger les couples mariés, en particulier les familles ayant des enfants, en cas de décès de l’un des conjoints et parents. Pour le requérant, on ne saurait donc prétendre que cette allocation ne vise pas à faciliter la vie familiale ou à y contribuer. À ses yeux, il est également clair que ses filles et lui ont été affectés de manière concrète et individuelle, et ce pas uniquement au moment de la cessation du paiement de la rente. En effet, la loi aurait pénalisé le requérant pour s’être occupé de ses filles lorsqu’elles étaient mineures et pour n’avoir pas organisé sa vie familiale conformément à la présomption, incorrecte de son point de vue, qui attribuerait à l’homme le rôle de pourvoyeur de revenu et qui sous ‑ tendrait le régime de la rente de conjoint survivant.</w:t>
      </w:r>
    </w:p>
    <w:p>
      <w:r>
        <w:rPr>
          <w:b/>
        </w:rPr>
        <w:t>E. 43</w:t>
      </w:r>
    </w:p>
    <w:p>
      <w:r>
        <w:t>De l’avis du requérant, il va de soi que les garanties offertes par des protocoles additionnels ajoutent des droits à ceux énoncés par la Convention, mais que ces garanties ne peuvent ni restreindre ni étendre les droits consacrés par celle ‑ ci. En outre, il serait bien établi dans la jurisprudence qu’une situation peut relever à la fois de l’article 8 de la Convention et de l’article 1 du Protocole n o 1, alors que ce dernier ne constitue pas une lex specialis par rapport à l’article 8. Pour le requérant, même lorsque la Cour avait examiné un grief sous l’angle de l’article 1 du Protocole n o 1, elle n’a pas pour autant exclu que ce même grief puisse être examiné sur le terrain de l’article 8 de la Convention, comme en témoigneraient par exemple les affaires Şerife Yiğit (arrêt précité), Sawden c. Royaume ‑ Uni ((déc.), n o 38550/97, 8 juin 1999) et Aldeguer Tomás c. Espagne (n o 35214/09, 14 juin 2016). À ses yeux, il serait en effet dangereux de prétendre le contraire parce que cela voudrait dire qu’un protocole additionnel limite les droits garantis par la Convention. Selon lui, cela ne signifie pas pour autant que l’article 1 du Protocole n o 1 n’a pas d’existence indépendante, puisqu’il existe à son avis de nombreuses affaires concernant les droits patrimoniaux et les domaines de la sécurité sociale et des taxes qui n’ont rien à voir avec l’article 8. Le requérant observe par ailleurs que les rentes de veuve et de veuf visent en principe à dispenser le conjoint survivant de la nécessité d’exercer une activité lucrative et à lui accorder une protection sociale, afin qu’il ait le temps de s’occuper de ses enfants. Il ajoute que, tout comme une rente de veuve versée après la majorité des enfants permet à la veuve de continuer à s’occuper de sa famille, une rente de veuf versée au ‑ delà de la majorité des enfants permet au père de continuer à prendre soin de sa famille. À son avis, si l’on devait considérer que cette prise en charge de la famille n’est plus nécessaire une fois que les enfants sont majeurs, la rente devrait alors être supprimée pour les deux parents, ce qui reviendrait cependant à méconnaître le fait qu’à ce moment de leur vie, les veuves et les veufs sont souvent à un âge qui exclut de fait la reprise d’une activité professionnelle. L’arrêt de la chambre</w:t>
      </w:r>
    </w:p>
    <w:p>
      <w:r>
        <w:rPr>
          <w:b/>
        </w:rPr>
        <w:t>E. 44</w:t>
      </w:r>
    </w:p>
    <w:p>
      <w:r>
        <w:t>La chambre a d’abord observé que la notion de « vie familiale » ne comprend pas uniquement des relations à caractère social, moral ou culturel mais qu’elle englobe aussi des intérêts matériels ( Merger et Cros c. France , n o 68864/01, § 46, 22 décembre 2004). Elle a également rappelé que des mesures permettant à l’un des parents de rester au foyer pour s’occuper de ses enfants sont des mesures qui favorisent la vie familiale et qui ont ainsi une incidence sur l’organisation de celle ‑ ci, et que de telles mesures entrent dans le champ d’application de l’article 8 (voir, parmi d’autres, Petrovic , Konstantin Markin et, dans le même sens, Weller et Dhahbi , tous précités).</w:t>
      </w:r>
    </w:p>
    <w:p>
      <w:r>
        <w:rPr>
          <w:b/>
        </w:rPr>
        <w:t>E. 45</w:t>
      </w:r>
    </w:p>
    <w:p>
      <w:r>
        <w:t>À la lumière des principes établis dans la jurisprudence susmentionnée, et se référant aux arrêts rendus dans deux précédentes affaires suisses, Di Trizio et Belli et Arquier ‑ Martinez (arrêts précités), la chambre a estimé que le grief du requérant tombait sous l’empire de l’article 8 de la Convention. Elle a considéré que la rente de veuve et de veuf visait à exempter le conjoint survivant de la nécessité d’exercer une activité rémunérée afin qu’il ait le temps de s’occuper de ses enfants, et que cette prestation revêtait donc clairement un caractère « familial » car elle avait de réelles incidences sur l’organisation de la vie familiale du requérant.</w:t>
      </w:r>
    </w:p>
    <w:p>
      <w:r>
        <w:rPr>
          <w:b/>
        </w:rPr>
        <w:t>E. 46</w:t>
      </w:r>
    </w:p>
    <w:p>
      <w:r>
        <w:t>Pour ce qui est des conséquences de la rente de veuf sur le requérant in concreto , la chambre a rappelé que depuis le décès accidentel de son épouse, lorsque les enfants du couple étaient âgés de un an et neuf mois et de quatre ans, l’intéressé, qui avait travaillé jusqu’alors, s’était occupé exclusivement de ses enfants, sans pouvoir exercer son métier. Au moment où le versement de la rente avait cessé, il était âgé de cinquante ‑ sept ans et n’exerçait plus d’activité lucrative depuis plus de seize ans. Lorsque le Tribunal fédéral avait rendu son arrêt, le requérant avait déjà cinquante ‑ neuf ans, ce qui rendait son retour sur le marché du travail difficilement envisageable. Dans ces conditions, la chambre a estimé que la rente de veuf, que le requérant avait perçue depuis le décès de son épouse et qui avait été supprimée à la majorité du plus jeune de ses enfants, avait eu un impact sur la manière dont l’intéressé avait organisé et aménagé sa vie familiale. Appréciation de la Cour Remarques liminaires</w:t>
      </w:r>
    </w:p>
    <w:p>
      <w:r>
        <w:rPr>
          <w:b/>
        </w:rPr>
        <w:t>E. 47</w:t>
      </w:r>
    </w:p>
    <w:p>
      <w:r>
        <w:t>Selon la jurisprudence constante de la Cour, l’article 14 de la Convention complète les autres clauses normatives de la Convention et de ses Protocoles. Il n’a pas d’existence indépendante, puisqu’il vaut uniquement pour « la jouissance des droits et libertés » qu’elles garantissent (voir, parmi beaucoup d’autres, Şahin c. Allemagne [GC], n o 30943/96, § 85, CEDH2003 ‑ VIII, et Fábián c. Hongrie [GC], n o 78117/13, § 112, 5 septembre 2017).</w:t>
      </w:r>
    </w:p>
    <w:p>
      <w:r>
        <w:rPr>
          <w:b/>
        </w:rPr>
        <w:t>E. 48</w:t>
      </w:r>
    </w:p>
    <w:p>
      <w:r>
        <w:t>L’application de l’article 14 ne présuppose pas nécessairement la violation de l’un des droits matériels garantis par la Convention. Il faut, mais il suffit, que les faits de la cause tombent sous l’empire de l’un au moins des articles de la Convention. De plus, l’interdiction de la discrimination que consacre l’article 14 dépasse la jouissance des droits et libertés que la Convention et ses Protocoles imposent à chaque État de garantir. Elle s’applique aussi aux droits additionnels, pour autant qu’ils tombent sous l’empire de tout article de la Convention, que l’État a volontairement décidé de protéger. Ce principe est profondément ancré dans la jurisprudence de la Cour (voir, parmi beaucoup d’autres, Konstantin Markin , précité, § 124, Petrovic , précité, § 22, Yocheva et Ganeva c. Bulgarie , n os 18592/15 et 43863/15, § 71, 11 mai 2021, et Stec et autres c. Royaume ‑ Uni (déc.) [GC], n os 65731/01 et 65900/01, § 39, CEDH 2005 ‑ X).</w:t>
      </w:r>
    </w:p>
    <w:p>
      <w:r>
        <w:rPr>
          <w:b/>
        </w:rPr>
        <w:t>E. 49</w:t>
      </w:r>
    </w:p>
    <w:p>
      <w:r>
        <w:t>Eu égard au caractère non autonome de l’article 14 de la Convention, ainsi qu’à la demande de renvoi et aux observations des parties, la Cour note qu’il convient d’abord de trancher la question de savoir si les intérêts du requérant qui ont été touchés par le régime de la rente de conjoint survivant tombent sous l’empire de l’article 8 de la Convention (voir, mutatis mutandis , Stec et autres , décision précitée, § 41). La réponse à cette question est en effet déterminante pour le point de savoir si la Cour est compétente pour se pencher sur le fond de l’affaire, portant sur la violation alléguée de l’article 14 de la Convention combiné avec l’article 8. L’évolution et l’état actuel de la jurisprudence en matière de prestations sociales</w:t>
      </w:r>
    </w:p>
    <w:p>
      <w:r>
        <w:rPr>
          <w:b/>
        </w:rPr>
        <w:t>E. 50</w:t>
      </w:r>
    </w:p>
    <w:p>
      <w:r>
        <w:t>et 52). 53. À cet égard, il convient de noter d’emblée que la Suisse n’a ratifié ni la Charte sociale ni, surtout, le Protocole n o 1, choix politique dont les motifs ont été exposés par le Gouvernement (paragraphe 38 ci ‑ dessus). Elle ne saurait donc se voir opposer ce dernier instrument (voir, mutatis mutandis , Demir et Baykara c. Turquie [GC], n o 34503/97, §§ 57, 60, 149, CEDH 2008). 54 . Dans le contexte de la présente affaire, il convient de souligner que, dans la très grande majorité des affaires dans lesquelles elle s’est exprimée sur une discrimination alléguée en matière d’octroi de prestations sociales, la Cour s’est concentrée sur l’article 1 du Protocole n o 1, et non sur l’article 8 de la Convention. Elle a d’abord considéré que le versement de cotisations à des fonds de pension ou à des régimes de sécurité sociale pouvait, dans certaines circonstances, donner naissance à des droits patrimoniaux au sens de l’article 1 du Protocole n o 1 ( Bellet, Huertas et Vialatte c. France (déc.), n os 40832/98 et 2 autres, 27 avril 1999, Skórkiewicz c. Pologne (déc.), n o 39860/98, 1 er juin 1999, Gaygusuz c. Autriche , 16 septembre 1996, §§ 39 et 41, Recueil 1996 ‑ IV, Kjartan Ásmundsson c. Islande , n o 60669/00, § 39, CEDH 2004 ‑ IX). 55. Dans la décision Stec et autres (précitée), la Cour a ensuite jugé que le maintien, aux fins de l’applicabilité de l’article 1 du Protocole n o 1, d’une distinction entre prestations contributives et prestations non contributives n’était plus justifié ( ibidem , §§ 52 ‑ 53). Elle a également souligné que les principes qui s’appliquent généralement aux affaires concernant l’article 1 du Protocole n o 1 gardent toute leur pertinence lorsqu’il s’agit de prestations sociales. Ainsi, il ne fait pas de doute que cette disposition n’impose aucune restriction à la liberté pour les États contractants de décider d’instaurer ou non un régime de protection sociale ou de choisir le type ou le niveau des prestations censées être accordées au titre de pareil régime. Cependant, dès lors qu’un État contractant met en place une législation prévoyant le versement automatique d’une prestation sociale ou d’une pension, cette législation doit être considérée comme engendrant un intérêt patrimonial tombant sous l’empire de l’article 1 du Protocole n o 1 pour les personnes remplissant ses conditions ( ibidem , § 54), et elle doit être compatible avec l’article 14 de la Convention ( Stec et autres c. Royaume ‑ Uni [GC], n os 65731/01 et 65900/01, § 53, CEDH 2006 ‑ VI). 56 . De nombreuses affaires examinées jusqu’à présent par la Cour (parmi lesquelles Willis , précité, Muñoz Díaz c. Espagne , n o 49151/07, CEDH 2009, Moskal c. Pologne , n o 10373/05, 15 septembre 2009, Si Amer c. France , n o 29137/06, 29 octobre 2009, Santos Hansen c. Danemark (déc.), n o 17949/07, 9 mars 2010, Hasani c. Croatie (déc.), n o 20844/09, 30 septembre 2010, Šulcs et autres c. Lettonie (déc.), n os 42923/10 et 22 autres, 6 décembre 2011, Guberina c. Croatie , n o 23682/13, 22 mars 2016, et Béláné Nagy c. Hongrie [GC], n o 53080/13, 13 décembre 2016) montrent que, dans le domaine des prestations sociales, la Cour se place régulièrement, et en premier lieu, sur le terrain de l’article 1 du Protocole n o 1, ou bien sur le terrain de l’article 14 de la Convention combiné avec l’article 1 du Protocole n o 1 lorsque le requérant allègue avoir été privé d’une prestation sociale pour un motif discriminatoire. En particulier, dans les affaires Moskal et Béláné Nagy (arrêts précités), la Cour a choisi d’examiner les griefs relatifs aux prestations sociales d’abord sous l’angle de l’article 1 du Protocole n o 1 et elle n’a pas ensuite estimé nécessaire de poursuivre l’examen sous l’angle de l’article 8 de la Convention. 57 . Tous ces éléments amènent la Cour à constater que sa jurisprudence a atteint une maturité et une stabilité permettant de définir clairement le seuil nécessaire pour faire entrer en jeu l’article 1 du Protocole n o 1, y compris dans le domaine des prestations sociales. Il convient ici de rappeler que cette disposition ne crée aucun droit d’acquérir un bien ou de se voir accorder une pension d’un montant donné . Sa protection ne vaut que pour les biens actuels et, dans certaines circonstances, pour l’« espérance légitime » d’obtenir une valeur patrimoniale ; pour qu’un requérant puisse faire reconnaître un bien constitué par une espérance légitime, il doit jouir d’un droit sanctionnable qui doit véritablement constituer un intérêt patrimonial substantiel suffisamment établi au regard du droit national ( Béláné Nagy , précité, §§ 74 ‑ 79). 58. Ainsi, lorsque l’intéressé ne satisfait pas ou cesse de satisfaire aux conditions fixées par le droit interne pour l’octroi de telle ou telle forme de prestation ou de pension, il n’y a pas d’atteinte aux droits découlant de l’article 1 du Protocole n o 1 si les conditions ont changé avant que l’intéressé ait pu prétendre à la prestation en question. Lorsque la suspension ou la réduction d’une pension est due à un changement non pas dans la situation du requérant lui ‑ même mais dans la loi ou dans sa mise en œuvre, il peut en résulter une atteinte aux droits garantis par l’article 1 du Protocole n o 1. Dès lors, si les conditions fixées par le droit interne pour l’octroi de telle ou telle forme de prestation ou de pension ont changé et que, de ce fait, la personne concernée n’y satisfait plus, un examen minutieux des circonstances individuelles de l’espèce – en particulier, la nature du changement apporté auxdites conditions – peut s’imposer dans le but de vérifier l’existence d’un intérêt patrimonial substantiel suffisamment établi au regard du droit national ( Béláné Nagy , précité, §§ 86 ‑ 89). 59. La situation n’est pas aussi claire concernant le champ d’application de l’article 8 de la Convention dans ce domaine. S’il ne fait pas de doute que la notion de vie « familiale » au sens de l’article 8 de la Convention comprend également, à côté des relations de caractère social, moral ou culturel, certains intérêts matériels qui ont nécessairement des conséquences pécuniaires, cette interprétation a été développée avant tout dans les affaires concernant la non ‑ reconnaissance en droit de liens de filiation et les conséquences de celle ‑ ci sur la transmission de biens entre personnes privées (voir, entre autres, Marckx c. Belgique , 13 juin 1979, série A n o 31, Camp et Bourimi c. Pays ‑ Bas , n o 28369/95, CEDH 2000 ‑ X, Pla et Puncernau c. Andorre , n o 69498/01, CEDH 2004 ‑ VIII, Merger et Cros , précité, Schaefer c. Allemagne (déc.), n o 14379/03, 4 septembre 2007, et Brauer c. Allemagne , n o 3545/04, 28 mai 2009). Ainsi, dans l’arrêt Şerife Yiğit (précité), la non ‑ reconnaissance du mariage religieux de la requérante et ses conséquences en matière de droits de succession ont été examinées sur le terrain de l’article 8 de la Convention tandis que l’aspect pécuniaire du grief de l’intéressée, relatif au refus de l’État de lui accorder le bénéfice des droits à une pension de réversion et à la sécurité sociale, y a été examiné par la Cour sous l’angle de l’article 14 de la Convention combiné avec l’article 1 du Protocole n o 1. 60. Plus rares sont les affaires où la Cour a examiné, sur le terrain de l’article 8 pris isolément, les griefs concernant les prestations sociales, c’est ‑ à ‑ dire les versements provenant des fonds publics, y compris de caisses d’assurance sociale (voir, par exemple, La Parola et autres c. Italie (déc.), n o 39712/98, 30 novembre 2000, McDonald c. Royaume ‑ Uni , n o 4241/12, 20 mai 2014, et Belli et Arquier ‑ Martinez , précité). La Cour ne déduit pas de ces affaires que l’article 8 pris isolément peut être interprété comme imposant à l’État des obligations positives en matière de sécurité sociale. 61. En revanche, certaines lignes directrices permettant d’identifier les facteurs qui font tomber les faits d’une cause de ce type sous l’empire de l’article 8 peuvent être dégagées des affaires, plus nombreuses, dans lesquelles la Cour a examiné les griefs concernant les prestations sociales sur le terrain de l’article 14 de la Convention combiné avec l’article 8. En effet, si l’article 8 ne garantit pas le droit de se voir octroyer une prestation sociale, lorsque l’État décide d’aller au ‑ delà de ses obligations découlant de l’article 8 en créant pareil droit, ce qu’il lui est loisible de faire en application de l’article 53 de la Convention, il ne peut, dans la mise en application de ce dernier, prendre des mesures discriminatoires au sens de l’article 14 de la Convention (voir, mutatis mutandis , Stec et autres , § 53, Konstantin Markin , § 130, et Aldeguer Tomás , § 76, tous précités). 62 . Dans ce sens, l’article 14 combiné avec l’article 8 peut donc avoir un champ d’application plus étendu que l’article 8 pris isolément. Pour conclure que les griefs relatifs à des prestations sociales tombent sous l’empire de l’article 8, ce qui permet à l’article 14 d’entrer en jeu, la Cour a au fil du temps retenu différents facteurs. 63. On mentionnera, en premier lieu, les affaires concernant le congé parental et l’allocation y afférente, à savoir Petrovic (précité), Konstantin Markin (précité) et Topčić ‑ Rosenberg c. Croatie (n o 19391/11, 14 novembre 2013). Dans ces affaires, qui font apparaître le concept d’« organisation de la vie familiale », l’applicabilité de l’article 14 combiné avec l’article 8 a été la résultante d’une série de circonstances ayant trait à l’octroi d’un congé et d’une allocation, qui dans la situation spécifique des requérants avaient nécessairement une incidence sur l’organisation de la vie familiale. 64 . Une autre approche, qui a été adoptée par la Cour notamment dans les affaires Di Trizio et Belli et Arquier ‑ Martinez (arrêts précités) et qui a guidé la chambre dans son arrêt en l’espèce, repose plutôt sur l’hypothèse selon laquelle l’octroi ou le non ‑ octroi de la prestation sont susceptibles d’influencer l’organisation de la vie familiale. 65 . Enfin, dans d’autres arrêts, pour la plupart antérieurs à celui rendu par la Grande Chambre dans l’affaire Konstantin Markin (précité), la Cour a eu recours à une présomption légale selon laquelle l’État témoigne, par le biais de la prestation en cause, de son soutien et de son respect pour la vie familiale. Une telle approche a été appliquée par la Cour notamment dans les affaires concernant une indemnité de maternité ( Weller , précité), une allocation en faveur des familles nombreuses ( Fawsie c. Grèce , n o 40080/07, 28 octobre 2010, Dhahbi , précité), une allocation pour enfant ( Okpisz c. Allemagne , n o 59140/00, 25 octobre 2005, et Niedzwiecki c. Allemagne , n o 58453/00, 25 octobre 2005) ou une allocation familiale pour enfants n’ayant plus qu’un parent en vie ( Yocheva et Ganeva , précité). La démarche à suivre dorénavant 66 . Il ressort de l’étude de la jurisprudence résumée ci ‑ dessus que la Cour n’a pas toujours défini de manière parfaitement cohérente les éléments l’ayant amenée à conclure que les griefs relatifs aux allocations sociales tombaient sous l’empire de l’article 8 de la Convention. 67 . La Cour note d’emblée que toute prestation pécuniaire a généralement certaines incidences sur la gestion de la vie familiale de l’intéressé, sans que cela suffise à la faire tomber sous l’empire de l’article 8. Dans le cas contraire, en effet, l’ensemble des allocations sociales tomberaient sous l’empire de cette disposition, ce qui serait excessif. 68. Il est donc nécessaire que la Cour clarifie les critères pertinents afin de préciser, voire circonscrire, ce qui tombe sous l’empire de l’article 8 en matière de prestations sociales. 69. Il ressort par ailleurs de la jurisprudence résumée ci ‑ dessus que, en matière de prestations sociales, la sphère de protection de l’article 1 du Protocole n o 1 et celle de l’article 8 de la Convention se recoupent et se chevauchent, bien que les intérêts protégés par ces articles diffèrent. En déterminant les griefs qui tombent sous l’empire de l’article 8, la Cour doit pallier les incohérences constatées sur le terrain de l’article 8, notamment lorsqu’il est combiné avec l’article 14 de la Convention (paragraphes 64 ‑ 65 ci ‑ dessus). Il s’ensuit que la Cour ne peut plus se contenter ni d’une simple présomption légale selon laquelle l’État témoigne, par le biais de la prestation en cause, de son soutien et de son respect pour la vie familiale (voir la jurisprudence citée au paragraphe 65 ci ‑ dessus), ni d’un lien de causalité hypothétique, consistant à rechercher si l’octroi d’une allocation est « susceptible d’influencer l’organisation de la vie familiale » (voir la jurisprudence citée au paragraphe 64 ci ‑ dessus). 70. De l’avis de la Cour, il convient de prendre pour point de référence notamment l’arrêt rendu par la Grande Chambre dans l’affaire Konstantin Markin (précité) : « i. Sur l’applicabilité de l’article 14 combiné avec l’article 8 129. La Cour doit avant tout déterminer si les faits de la cause relèvent de l’article 8 et donc de l’article 14 de la Convention. Elle a dit à maintes reprises que l’article 14 de la Convention entre en jeu dès lors que « la matière sur laquelle porte le désavantage (...) compte parmi les modalités d’exercice d’un droit garanti », ou que les mesures critiquées « se rattache[nt] (...) à l’exercice d’un droit garanti ». Pour que l’article 14 trouve à s’appliquer, il suffit que les faits du litige tombent sous l’empire de l’une au moins des dispositions de la Convention ( Thlimmenos c. Grèce [GC], n o 34369/97, § 40, CEDH 2000 ‑ IV , E.B. c. France [[GC], n o 43546/02 ], §§ 47 ‑ 48, [22 janvier 2008] et Fretté c. France , n o 36515/97, § 31, CEDH 2002 ‑ I, ainsi que les références citées). 130. Certes, l’article 8 ne comporte pas un droit au congé parental et n’impose pas non plus aux États l’obligation positive de prévoir une allocation de congé parental. Cependant, en permettant à l’un des parents de rester au foyer pour s’occuper des enfants, le congé parental et l’allocation y afférente favorisent la vie familiale et ont nécessairement une incidence sur l’organisation de celle ‑ ci [soulignements ajoutés]. Le congé parental et l’allocation correspondante entrent donc dans le champ d’application de l’article 8 de la Convention. Il s’ensuit que l’article 14, combiné avec l’article 8, trouve à s’appliquer. Partant, lorsqu’un État décide de créer un dispositif de congé parental, il doit le faire d’une manière compatible avec l’article 14 de la Convention ( Petrovic [ c. Autriche , 27 mars 1998], §§ 26 ‑ 29[, Recueil 1998-II]). » 71. Dans le contexte de l’affaire Konstantin Markin , l’applicabilité de l’article 14 combiné avec l’article 8 de la Convention a été déclenchée par le fait que le congé parental et l’allocation correspondante avaient « nécessairement une incidence sur l’organisation de [la vie familiale] », (comparer et contraster avec l’approche suivie dans les affaires mentionnées aux paragraphes 64 et 65 ci ‑ dessus), les deux ayant visé à permettre à l’un des parents de rester au foyer pour s’occuper des enfants (en l’occurrence en bas âge). Ainsi, un lien étroit entre l’allocation associée au congé parental et la jouissance de la vie familiale a été considéré nécessaire. 72. Dès lors, pour que l’article 14 de la Convention entre en jeu dans ce contexte spécifique, la matière sur laquelle porte le désavantage allégué doit compter parmi les modalités d’exercice du droit au respect de la vie familiale tel que garanti par l’article 8 de la Convention, en ce sens que les mesures visent à favoriser la vie familiale et qu’elles ont nécessairement une incidence sur l’organisation de celle ‑ ci. La Cour estime qu’un éventail d’éléments sont pertinents pour déterminer la nature de l’allocation en question et qu’il convient de les examiner dans leur ensemble. Figureront parmi ces éléments, notamment : le but de l’allocation tel que déterminé par la Cour à la lumière de la législation concernée ; les conditions de l’octroi, du calcul et de l’extinction de l’allocation prévues par les dispositions légales ; les effets sur l’organisation de la vie familiale tels qu’envisagés par la législation ; les incidences réelles de l’allocation, compte tenu du cas individuel du requérant et de sa vie familiale pendant toute la période de versement de l’allocation. L’application à la présente affaire 73. Suivant la démarche qui vient d’être exposée, la Cour est appelée, en vue de déterminer si l’article 8 et, en conséquence, l’article 14 de la Convention entrent en jeu en l’espèce, à considérer les éléments pertinents dans leur globalité et à prendre en compte toute la période de 1997 à 2010, pendant laquelle le requérant a perçu la rente de veuf. 74. La Cour estime en premier lieu qu’il convient en l’occurrence d’apprécier le but de la rente de conjoint survivant. À cette fin, il y a lieu de prendre en compte le libellé des dispositions légales pertinentes, à savoir les articles 23 et 24 de la loi fédérale du 20 décembre 1946 sur l’assurance ‑ vieillesse et survivants (« la LAVS » – paragraphe 20 ci ‑ dessus), et les conditions d’octroi de la rente. Elle relève que l’article 23 de la LAVS fixe celles ‑ ci de telle manière que, pour pouvoir bénéficier de cette allocation, le parent survivant doit avoir, au décès du conjoint, un ou plusieurs enfants. Cette disposition se réfère également au fait pour le conjoint survivant de vivre en ménage commun avec les enfants du conjoint décédé (alinéa 2), ainsi qu’au statut matrimonial du bénéficiaire de la rente (alinéas 4 et 5). En revanche, à l’exception des veuves remplissant les critères de l’article 24 § 1 de la LAVS, les conjoints survivants ne peuvent se voir octroyer cette rente si la famille ne compte pas d’enfants. 75. En vertu de cette législation, le requérant, ayant perdu son épouse en 1994, a donc eu droit à la pension de veuf, lorsque celle ‑ ci a été introduite en 1997, uniquement parce qu’il était père de famille et avait des enfants à charge. Il ressort par ailleurs du dossier que jusqu’alors c’était principalement celle ‑ ci qui s’occupait des enfants, tandis que le requérant travaillait, d’abord comme technicien textile puis au sein d’une compagnie d’assurances. 76. Il convient ensuite de relever que la cessation du versement de la rente de veuf est également résultée de la situation familiale du requérant, à savoir l’âge de ses enfants, puisque son droit à la rente s’est éteint lorsque sa fille cadette a eu dix ‑ huit ans. 77. La Cour n’ignore pas que, selon le Gouvernement, le seul et unique but de la rente de veuve et de veuf est d’épargner au survivant, en couvrant ses besoins vitaux, les difficultés financières que peut causer le décès du conjoint (paragraphe 36 ci ‑ dessus). Cependant, quel qu’ait pu être l’effet envisagé par le législateur de l’avis du Gouvernement, les constatations susmentionnées permettent à la Cour de conclure qu’en réalité la rente en question vise à favoriser la vie familiale du conjoint survivant. En effet, elle lui permet de s’occuper de ses enfants à plein temps si tel était auparavant le rôle du parent décédé, ou, dans tous les cas, de se consacrer davantage à ceux ‑ ci sans avoir à affronter des difficultés financières qui le contraindraient à exercer une activité professionnelle. 78. Il incombe également à la Cour de rechercher, à la lumière de l’ensemble des circonstances concrètes de la présente affaire, en quoi le fait que le requérant ait perçu cette allocation entre 1997 et 2010 et le fait qu’il en ait été privé à la majorité de sa fille cadette ont eu une incidence sur l’organisation de sa vie familiale durant cette période. 79. Dans ce contexte, la Cour observe qu’au moment du décès de l’épouse du requérant, en 1994, les filles du couple étaient âgées de un an et neuf mois et de quatre ans respectivement. Dans cette situation, qui nécessitait la prise de décisions difficiles et déterminantes pour l’organisation de sa vie familiale, le requérant a quitté son emploi pour se consacrer à plein temps à sa famille, notamment en assurant la garde et l’éducation de ses filles. La Cour ne doute pas que le fait de percevoir la pension de veuf a nécessairement eu une incidence sur l’organisation de sa vie familiale tout au long de la période concernée. 80. Il s’ensuit que depuis le moment où, en 1997, le requérant s’est vu accorder le bénéfice de la pension de veuf jusqu’à la suppression de celle ‑ ci, en novembre 2010, l’intéressé et sa famille ont organisé les aspects clés de leur vie quotidienne, au moins en partie, en fonction de l’existence de cette allocation. 81. La Cour note enfin que la situation économique délicate dans laquelle le requérant s’est retrouvé, à l’âge de cinquante ‑ sept ans, du fait de la perte de la rente de conjoint survivant et des difficultés à réintégrer un marché du travail dont il était absent depuis seize ans, est résultée de la décision qu’il avait prise des années auparavant dans l’intérêt de sa famille, confortée à partir de 1997 par la perception de la rente de veuf. 82. Ces éléments amènent la Cour à conclure que les faits de l’espèce tombent sous l’empire de l’article 8 de la Convention. Cela suffit pour rendre l’article 14 de la Convention applicable. 83. Il convient, dès lors, de rejeter l’exception préliminaire du Gouvernement. SUR LA VIOLATION ALLÉGUÉE DE L’ARTICLE 14 DE LA CONVENTION COMBINÉ AVEC L’ARTICLE 8 84. Le requérant se plaint que, contrairement à une veuve dans une situation analogue, il n’a plus droit à une rente de conjoint survivant depuis que sa fille cadette a atteint la majorité, et s’estime de ce fait victime d’une discrimination fondée sur le sexe. Thèses des parties Le requérant 85. Le requérant expose tout d’abord que, ayant renoncé à son emploi au moment du décès de son épouse en août 1994, il s’est ensuite occupé seul de ses filles jusqu’à ce qu’elles aient terminé leur formation, et que pendant cette période il a perçu la rente de veuf et les prestations complémentaires. La suppression de cette rente en novembre 2010, alors qu’il avait cinquante ‑ sept ans, lui aurait causé de graves difficultés familiales et financières car il n’aurait plus été en mesure de trouver un emploi. Il lui aurait donc fallu à plusieurs reprises solliciter une aide sociale afin de pouvoir s’occuper de ses filles. À ses yeux, il n’a donc pas été touché différemment de ce qui aurait été le cas pour une veuve. De plus, entre le moment où sa pension de veuf a été supprimée et les premiers versements de sa pension de vieillesse, en avril 2018, sa vie familiale aurait été considérablement restreinte et les activités familiales habituelles n’auraient pu avoir lieu, faute d’argent. 86. Le requérant observe par ailleurs que les rentes de veuve et de veuf visent en principe à dispenser le conjoint survivant de la nécessité d’exercer une activité lucrative et à lui accorder une protection sociale, afin qu’il ait le temps de s’occuper de ses enfants. Il ajoute que, tout comme une rente de veuve versée après la majorité des enfants permet à la veuve de continuer à s’occuper de sa famille, une rente de veuf versée au ‑ delà de la majorité des enfants permet au père de continuer à prendre soin de sa famille. À son avis, si l’on devait considérer que cette prise en charge de la famille n’est plus nécessaire une fois que les enfants sont majeurs, la rente devrait alors être supprimée pour les deux parents, ce qui reviendrait cependant à faire obstacle à la jouissance de la vie familiale ainsi qu’à méconnaître le fait qu’à ce moment de leur vie, les veuves et les veufs sont souvent à un âge qui exclut de fait la reprise d’une activité professionnelle. 87. Le requérant maintient ensuite qu’il n’existe aucune raison objective de placer les veufs dans une situation plus défavorable que les veuves en ce qui concerne le versement de rentes, d’autant qu’une telle réglementation est selon lui unique en Europe. Il conteste que l’existence d’une discrimination visant les femmes, c’est ‑ à ‑ dire l’inégalité inconstitutionnelle de traitement subie par elles sur le marché de travail, notamment en matière de salaire, puisse servir à justifier la perpétuation d’une discrimination à l’égard des hommes. Il expose qu’il ne s’agit pas ici d’une discrimination positive visant à aider les femmes puisque, au contraire, le régime actuel renforce des modèles de rôles et de répartition des tâches qui sont dépassés et discriminatoires. Il ajoute que, des traditions ou des attitudes et comportements de nature sociale n’étant pas suffisants, on ne peut conclure en l’espèce à l’existence d’arguments très solides pouvant à eux seuls justifier une inégalité entre les sexes. Pour le requérant, les exigences de l’article 14 combiné avec l’article 8 de la Convention ne seraient donc satisfaites que si les mêmes conditions s’appliquaient aux veuves et aux veufs en ce qui concerne l’extinction du droit à la rente. 88. Dans ce contexte, le requérant estime non valable l’argument que le Gouvernement tire du concept désuet de « mariage prestataire », selon lequel les veuves en Suisse doivent encore bénéficier d’une protection spéciale par rapport aux veufs, en raison de leur plus grande dépendance financière. Selon lui, il est extrêmement rare de trouver des familles où l’homme assume la responsabilité exclusive de l’entretien financier de la famille et la femme celle de la maison et du foyer. De plus, en constatant une discrimination manifeste à son encontre, le Tribunal fédéral aurait déjà rejeté les différences tant fonctionnelles que biologiques entre les sexes, ainsi que les attentes traditionnelles en matière de rôles. La justification de la différence de traitement entre les veuves et les veufs reposerait donc uniquement sur des considérations démocratiques (la volonté du peuple), jugées plus importantes que les droits fondamentaux, ainsi que sur des préoccupations financières. Lors de la révision de la législation pertinente, le Parlement aurait en effet constaté que l’égalité de traitement des conjoints au ‑ delà de l’âge de la majorité des enfants était trop coûteuse. Or, selon le requérant, au regard de l’importance centrale de l’égalité des sexes, il apparaît disproportionné et inacceptable de se prévaloir de tels motifs. Le Gouvernement 89. Rappelant que les États jouissent d’une ample marge d’appréciation lorsqu’il s’agit de prendre des mesures d’ordre général en matière économique ou sociale (et se référant notamment à l’arrêt Andrle c. République tchèque , n o 6268/08, §§ 55 ‑ 59, 17 février 2011), le Gouvernement ne conteste pas pour autant la nécessité d’un réajustement des conditions d’octroi des rentes de survivants qui prenne en considération les changements sociaux survenus au cours des dernières décennies. Il soutient néanmoins que, malgré les progrès constatés dans la situation des femmes sur le marché du travail (il précise que l’actualisation d’une étude de 2012 relative à la situation économique des veuves et des veufs a été lancée en mars 2021 et est en cours), le besoin d’une protection légèrement supérieure des veuves n’a pas complètement disparu. Dès lors, selon lui, la différence de traitement qui en résulte peut encore trouver une justification objective et raisonnable, en attendant une réforme plus globale du système qui se fera dans le respect des processus politiques et démocratiques. 90. Pour ce qui est du but légitime de cette différence, le Gouvernement note que la rente de veuve, instituée en 1948, se fondait sur la présomption selon laquelle l’époux assure l’entretien de son épouse, en particulier quand elle a des enfants. Il expose que, si le gouvernement suisse a depuis essayé plusieurs fois de réformer le régime de la rente de veuve et de veuf en vue d’une harmonisation progressive, ces projets n’ont pas abouti. 91 . Concernant la proportionnalité, le Gouvernement observe que la situation des conjoints survivants fait partie des évolutions sociétales dont il faut tenir compte et qu’on ne peut guère les répercuter immédiatement puisqu’elles se produisent de façon progressive, sur de très longues périodes. En outre, selon le Gouvernement, la marge d’appréciation accordée aux États signifie aussi que ceux ‑ ci sont libres de choisir les moyens qu’ils estiment les plus appropriés pour réduire ou supprimer les inégalités qui apparaissent. Ainsi, à ses yeux, lorsque la rente de veuf a été introduite en 1997, l’égalité dans la répartition des rôles entre hommes et femmes n’était pas encore entièrement atteinte. Ce serait la raison pour laquelle le législateur a estimé qu’un veuf ne devait avoir droit à la rente que s’il avait à sa charge des enfants de moins de dix ‑ huit ans. Depuis lors, il aurait plusieurs fois envisagé d’ajuster « vers le bas » les conditions d’octroi de la rente de veuve, mais il y aurait renoncé au motif qu’une égalité stricte n’était pas encore indiquée au vu des réalités sociales. Le Gouvernement soutient à ce titre que l’égalité entre hommes et femmes n’est pas encore complètement atteinte dans les faits en ce qui concerne l’exercice d’une activité rémunérée et la répartition des rôles au sein du couple. Il estime qu’en l’espèce la différence de traitement ne repose donc pas sur des stéréotypes liés au sexe, mais sur une réalité sociale. Il expose qu’en effet, selon les données statistiques disponibles pour 2020, environ 87 % des hommes ayant des enfants de moins de quinze ans travaillaient à temps plein, contre seulement 21 % des femmes ayant des enfants de la même tranche d’âge. Il ajoute que, parmi les 79 % des femmes ayant des enfants de ladite tranche d’âge et travaillant à temps partiel, environ 42 % étaient occupées à moins de 50 %. La situation des pères sur le marché du travail serait donc encore objectivement différente de celle des mères et leur retour à une activité lucrative apparaîtrait plus facile. L’homme, en perdant son épouse, perdrait la personne qui dans les faits s’occupe encore majoritairement des enfants, tandis que la femme, en perdant son époux, perdrait la personne qui de manière prépondérante continue d’entretenir financièrement la famille. Dès lors, on pourrait encore raisonnablement considérer que le besoin de soutien des veufs diminue puis s’éteint à mesure que les enfants grandissent et gagnent en autonomie, alors que le besoin d’accorder un régime plus favorable aux veuves ne disparaîtrait pas complètement lorsque le dernier enfant atteint la majorité. Il s’agirait donc de compenser la situation moins favorable des femmes sur le marché du travail et l’inégale répartition des tâches domestiques qui subsiste. En revanche, de l’avis du Gouvernement, une égalité formelle parfaite des conditions d’octroi des rentes de veuf et de veuve serait difficile à concilier avec l’article 14 de la Convention. 92. Concernant la situation du requérant en l’espèce, le Gouvernement observe qu’il a travaillé jusqu’au décès de son épouse, c’est ‑ à ‑ dire jusqu’à l’âge de quarante ans. Selon le Gouvernement, si l’intéressé a ensuite choisi de s’occuper exclusivement de ses enfants, qui étaient en bas âge, il ne pouvait ignorer que sa rente de veuf allait cesser d’être versée à la majorité de sa fille cadette. Il n’était pas déraisonnable d’exiger de lui qu’il entreprît des démarches en vue de réintégrer le marché du travail, ne fût ‑ ce qu’à temps partiel, dès lors que ses enfants étaient devenus plus autonomes. Or le requérant ne démontrerait pas, concrètement, ce qu’il a entrepris à cet égard et quelles difficultés pratiques il a éventuellement rencontrées. Le Gouvernement souligne en outre qu’en avril 2018 le requérant a eu soixante ‑ cinq ans, âge qui correspond à l’âge ordinaire de la retraite pour les hommes en Suisse et qui lui permet de percevoir une rente de vieillesse. Appréciation de la Cour Principes généraux 93. La Cour rappelle que l’article 14 de la Convention offre une protection contre toute discrimination dans la jouissance des droits et libertés garantis par les autres clauses normatives de la Convention et de ses Protocoles. Selon la jurisprudence constante de la Cour, pour qu’un problème se pose au regard de cette disposition, il doit y avoir une différence dans le traitement de personnes placées dans des situations analogues ou comparables. Une telle différence est discriminatoire si elle ne repose pas sur une justification objective et raisonnable, c’est-à-dire si elle ne poursuit pas un but légitime ou s’il n’y a pas un rapport raisonnable de proportionnalité entre les moyens employés et le but visé (voir, parmi beaucoup d’autres, Biao c. Danemark [GC], n o 38590/10, § 90, 24 mai 2016, et Khamtokhu et Aksenchik c. Russie [GC], n os 60367/08 et 961/11, § 64, 24 janvier 2017). En d’autres termes, la notion de discrimination englobe d’ordinaire les cas dans lesquels un individu ou un groupe se voit, sans justification adéquate, moins bien traité qu’un autre, même si la Convention ne requiert pas le traitement le plus favorable ( Abdulaziz, Cabales et Balkandali c. Royaume-Uni , 28 mai 1985, § 82, série A n o 94, et Vallianatos et autres c. Grèce [GC], n os 29381/09 et 32684/09, § 76, CEDH 2013). 94. En ce qui concerne la charge de la preuve sur le terrain de l’article 14 de la Convention, la Cour a déjà dit que, lorsqu’un requérant a établi l’existence d’une différence de traitement, il incombe au Gouvernement de démontrer que cette différence de traitement était justifiée ( Biao , § 92, et Khamtokhu et Aksenchik , § 65, tous deux précités). 95 . La progression vers l’égalité des sexes est aujourd’hui un but important des États membres du Conseil de l’Europe ( Konstantin Markin , précité, § 127, et Ünal Tekeli c. Turquie , n o 29865/96, § 59, CEDH 2004 ‑ X). La Cour a ainsi maintes fois déclaré que les différences exclusivement fondées sur le sexe doivent être justifiées par des « considérations très fortes », des « motifs impérieux » ou, autre formule parfois utilisée, par des « raisons particulièrement solides et convaincantes » ( Stec et autres , § 52, Vallianatos et autres , § 77, et Konstantin Markin , § 127, tous précités). En particulier, des références aux traditions, présupposés d’ordre général ou attitudes sociales majoritaires ayant cours dans un pays donné ne suffisent pas à justifier une différence de traitement fondée sur le sexe ( Konstantin Markin , précité, §§ 126 ‑ 127, X et autres c. Autriche [GC], n o 19010/07, § 99, CEDH 2013, et Khamtokhu et Aksenchik , précité, §§ 77 ‑ 78). Par exemple, les États ne peuvent imposer des traditions qui trouvent leur origine dans l’idée que l’homme joue un rôle primordial et la femme un rôle secondaire dans la famille ( Ünal Tekeli , précité, § 63). 96 . Il s’ensuit que, si les États contractants doivent bénéficier d’une marge d’appréciation pour choisir le rythme d’adoption des réformes législatives et pour déterminer si et dans quelle mesure des différences entre des situations à d’autres égards analogues justifient des distinctions de traitement, lorsqu’il s’agit de différences de traitement fondées sur le sexe, la marge d’appréciation des États est étroite ( X et autres c. Autriche , précité, § 99, et Vallianatos et autres , précité, § 77). 97. Par ailleurs, si la Convention ne limite pas la liberté qu’ont les États contractants de décider s’il convient ou non de mettre en place un quelconque régime de sécurité sociale ou de choisir le type ou le niveau des prestations devant être accordées au titre de pareil régime, dès lors qu’un État décide de créer un régime de prestations ou de pensions, il doit le faire d’une manière compatible avec l’article 14 de la Convention ( Stec et autres , § 53, et Konstantin Markin , § 130, tous deux précités). Application de ces principes au cas d’espèce a) Sur l’existence d’un motif de discrimination prohibé par l’article 14 98. Le requérant soutient qu’il a subi une discrimination par rapport aux veuves en raison de l’arrêt du versement de sa rente de veuf intervenu à la majorité de sa fille cadette. Il allègue à cet égard qu’une veuve se trouvant dans la même situation n’aurait pas perdu son droit à une rente. Compte tenu de ce qui précède, le requérant peut en effet se prétendre victime d’une discrimination fondée sur le « sexe » au sens de l’article 14 de la Convention. b) Sur l’existence d’une différence de traitement entre des personnes placées dans des situations analogues ou comparables 99. La Cour constate que lorsqu’il est devenu veuf, en août 1994, le requérant a cessé de travailler pour s’occuper de ses enfants. Ayant bénéficié de la rente de veuf dès son introduction en 1997, il a perdu le droit à cette prestation lorsque sa fille cadette a atteint l’âge de dix ‑ huit ans. Le requérant avait alors cinquante ‑ sept ans ; il ne pouvait donc pas encore prétendre à une pension de vieillesse et n’était plus, selon ses dires, en mesure de trouver un emploi. 100. La Cour observe que l’extinction du droit du requérant à la rente de veuf se fondait sur l’article 24 § 2 de la LAVS qui, pour les veufs uniquement, situe cette extinction au moment où le dernier enfant devient majeur. Les veuves conservent quant à elles le droit à la rente de conjoint survivant même après que leur dernier enfant a atteint la majorité. 101. Il en résulte que le requérant a cessé de percevoir la rente de veuf pour le seul motif qu’il est un homme. En effet, il se trouvait à d’autres égards dans une situation analogue à celle d’une femme et il n’a pas été soutenu qu’il ne remplissait pas telle ou telle autre condition légale d’attribution de cette prestation. 102. Bien que se trouvant dans une situation analogue pour ce qui est de son besoin d’assurer sa subsistance, le requérant n’a pas été traité de la même façon qu’une femme/veuve. Il a donc subi une inégalité de traitement du fait de l’arrêt du versement de sa rente de veuf. 103. Il reste à déterminer si cette différence de traitement entre les veuves et les veufs repose sur une justification objective et raisonnable au regard de l’article 14 de la Convention. c) Sur la question de savoir si la différence de traitement était objectivement et raisonnablement justifiée 104. La Cour ne perd pas de vue que la présente affaire relève du domaine de la protection sociale, qui constitue un ensemble complexe dont il convient de préserver l’équilibre et que, de ce fait, une ample latitude est d’ordinaire laissée à l’État pour prendre des mesures d’ordre général en matière économique ou sociale ( Stec et autres , précité, § 52). Dans ce contexte, la Cour a déjà admis que les ajustements des systèmes de pension doivent être effectués de manière progressive, prudente et mesurée, car toute autre approche pourrait mettre en péril la paix sociale, la prévisibilité du système des pensions et la sécurité juridique ( Andrle , précité, § 51). 105. Elle rappelle toutefois que seules des considérations très fortes peuvent l’amener à estimer compatible avec la Convention une différence de traitement fondée sur le sexe, et que la marge d’appréciation dont disposent les États pour justifier cette différence est étroite (paragraphes 95 ‑ 96 ci ‑ dessus). 106. En l’espèce, la Cour note que, pour justifier la différence de traitement entre les deux sexes relativement au droit à la rente de conjoint survivant, le Gouvernement a soutenu que l’égalité entre hommes et femmes n’était pas encore complètement atteinte dans les faits en ce qui concerne l’exercice d’une activité rémunérée et la répartition des rôles au sein du couple. Selon le Gouvernement, il est encore justifié de se fonder sur la présomption selon laquelle l’époux assure l’entretien financier de son épouse, en particulier lorsqu’elle a des enfants, et, partant, d’accorder aux veuves une protection supérieure à celle des veufs. La différence de traitement litigieuse ne reposerait donc pas sur des stéréotypes liés au sexe, mais sur une réalité sociale (paragraphe 91 ci ‑ dessus). 107. Si pour sa part le Gouvernement a produit des statistiques relatives au pourcentage d’hommes et de femmes qui, ayant des enfants de moins de quinze ans, travaillent à temps plein ou à temps partiel, il n’a été fourni aucune information sur le pourcentage de veuves ou de veufs qui sont parvenus à réintégrer le marché du travail après de longues années d’absence une fois que leurs enfants avaient atteint l’âge de quinze ans ou de la majorité. L’absence d’informations pertinentes est notable, eu égard aux tentatives répétées de réforme du régime des rentes de veuves et de veufs à partir de 2000 et aux conclusions formulées par le Tribunal fédéral dans un arrêt rendu en l’espèce en 2012 (paragraphes 111 ‑ 113 ci ‑ dessous). 108. Sur ce point, la Cour observe que dès l’affaire Petrovic (précité, § 40), puis dans l’affaire Konstantin Markin (précité, § 140), elle a pris note de l’évolution progressive des sociétés européennes contemporaines vers un partage plus égalitaire entre les hommes et les femmes des responsabilités en matière d’éducation des enfants, et d’une meilleure reconnaissance du rôle des pères auprès des jeunes enfants. Elle en a déduit qu’une disposition générale et automatique, appliquée à un groupe de personnes en fonction de leur sexe, indépendamment de leur situation personnelle, sortait « du cadre d’une marge d’appréciation acceptable, aussi large soit ‑ elle », et était donc « incompatible avec l’article 14 » ( ibidem , § 148). 109. Il convient également de rappeler que la progression vers l’égalité des sexes reste un but important des États membres du Conseil de l’Europe (paragraphe 95 ci ‑ dessus). En témoigne entre autres la Recommandation n o R (85) 2 relative à la protection juridique contre la discrimination fondée sur le sexe, adoptée par le Comité des Ministres le 5 février 1985, qui appelle à garantir aux hommes et aux femmes un traitement égal tant au niveau de l’affiliation aux régimes de sécurité sociale et de retraite qu’au niveau des prestations payées par ces régimes (paragraphe 29 ci ‑ dessus). 110. La Cour réaffirme, par conséquent, que des références aux traditions, présupposés d’ordre général ou attitudes sociales majoritaires ayant cours dans un pays donné ne suffisent plus aujourd’hui à justifier une différence de traitement fondée sur le sexe, que celle ‑ ci soit en faveur des femmes ou des hommes. Il s’ensuit que le Gouvernement ne saurait se prévaloir de la présomption selon laquelle l’époux entretient financièrement son épouse (concept du « mari pourvoyeur ») afin de justifier une différence de traitement qui défavorise les veufs par rapport aux veuves. 111 . Par ailleurs, tout en admettant que le domaine de la protection sociale fait partie de ceux où les États doivent bénéficier d’une marge d’appréciation pour pouvoir choisir le rythme d’adoption des réformes législatives, la Cour observe que le gouvernement suisse a reconnu dès 1997 que les femmes exerçaient de plus en plus souvent une activité lucrative et qu’il était nécessaire d’accorder une protection aux hommes qui se consacraient aux travaux ménagers et à l’éducation des enfants. Une harmonisation complète des conditions relatives à la rente de veuve et de veuf semble cependant s’être heurtée à cette époque aux contraintes financières et aux critiques qui mettaient en avant les difficultés pour les veuves « plus âgées » de retourner à la vie active (paragraphe 22 ci ‑ dessus). D’autres tentatives entreprises par le gouvernement à partir de 2000 pour réformer le régime de la rente de conjoint survivant, mues par le fait que le système en vigueur n’était plus adapté au contexte d’alors et qu’il était contraire au principe de l’égalité entre hommes et femmes, ont échoué (paragraphes 23 ‑ 28 ci ‑ dessus). 112. Dans ce contexte, la Cour attache une importance fondamentale aux considérations énoncées dans la présente affaire par le Tribunal fédéral (paragraphe 17 ci ‑ dessus). En effet, dans son arrêt du 4 mai 2012, ce dernier a relevé que le législateur était conscient dès l’introduction de la rente de veuf que cette réglementation constituait une distinction inadmissible fondée sur le sexe, qui était contraire à la Constitution. En différenciant les conditions d’octroi de la rente selon qu’il s’agissait d’une veuve ou d’un veuf, le législateur avait opéré une distinction en fonction du sexe qui ne s’imposait ni pour des motifs biologiques ni pour des motifs fonctionnels. Le Tribunal fédéral a également rappelé le message adressé par le Conseil fédéral au Parlement lors de la onzième révision de l’AVS en 2000, indiquant que la règle selon laquelle les veufs n’ont droit à une rente que s’ils ont des enfants de moins de dix ‑ huit ans était contraire au principe de l’égalité entre hommes et femmes et devait donc être adaptée. 113 . Pour la Cour, les tentatives de réforme susmentionnées ainsi que l’évaluation de la législation litigieuse par la juridiction suprême du pays, à savoir le Tribunal fédéral, montrent que les anciennes « inégalités de fait » entre les hommes et les femmes ont perdu leur acuité dans la société suisse. Ainsi, les considérations et suppositions sur lesquelles les modalités de la rente de conjoint survivant ont reposé pendant les décennies passées ne sont plus à même de justifier des différences fondées sur le sexe. Il ressort même de l’arrêt du Tribunal fédéral que la réglementation en question est contraire au principe d’égalité entre l’homme et la femme consacré par l’article 8, alinéa 3, de la Constitution suisse. La Cour ajoute qu’à ses yeux cette législation contribue plutôt à perpétuer des préjugés et des stéréotypes concernant la nature ou le rôle des femmes au sein de la société et constitue un désavantage tant pour la carrière des femmes que pour la vie familiale des hommes ( Konstantin Markin , précité, § 141). Dans ce contexte, il convient de rappeler que l’article 2 de la CEDAW (paragraphe 30 ci ‑ dessus) impose aux États parties, notamment, d’assurer par voie de législation ou par d’autres moyens appropriés l’application effective du principe d’égalité des hommes et des femmes, et d’instaurer une protection juridictionnelle des droits des femmes sur un pied d’égalité avec les hommes. 114. Revenant au cas d’espèce, la Cour rappelle qu’après le décès de son épouse le requérant s’est consacré exclusivement à la garde et à l’éducation de ses enfants ainsi qu’aux soins à leur prodiguer, et a renoncé à exercer son métier. Âgé de cinquante ‑ sept ans lorsque le versement de la rente a cessé, il avait arrêté toute activité lucrative depuis plus de seize ans. À cet égard, la Grande Chambre partage l’avis de la chambre (paragraphe 75 de l’arrêt de la chambre) selon lequel il n’y a pas de raison de croire que le requérant aurait eu à cet âge ‑ là, et compte tenu de sa longue absence du marché du travail, moins de difficultés à réintégrer celui ‑ ci qu’une femme dans une situation analogue, ni que l’arrêt du versement de la rente l’aurait touché dans une moindre mesure qu’une veuve dans des circonstances comparables. 115. Compte tenu de ce qui précède, et eu égard à l’étroite marge d’appréciation laissée à l’État défendeur en l’espèce, la Cour estime que le Gouvernement n’a pas démontré qu’il existait des considérations très fortes ou des « raisons particulièrement solides et convaincantes » propres à justifier la différence de traitement fondée sur le sexe qui est dénoncée par le requérant. Elle estime dès lors que l’inégalité de traitement dont le requérant a été victime ne saurait passer pour reposer sur une justification raisonnable et objective. 116. Partant, la Cour conclut qu’il y a eu violation de l’article 14 combiné avec l’article 8 de la Convention. SUR L’APPLICATION DE L’ARTICLE 41 DE LA CONVENTION 117.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Dommage matériel 118. Le requérant réclame la somme de 189 355 francs suisses (CHF) pour le dommage matériel qu’il dit avoir subi du fait de l’arrêt du versement de la rente de veuf et des prestations complémentaires. 119. Le Gouvernement estime que, le cas échéant, les juridictions internes seraient mieux placées que la Cour pour évaluer précisément le dommage matériel subi par le requérant. Il soutient notamment que celui ‑ ci pourrait formuler une demande de réparation dans le cadre d’une requête en révision de l’arrêt du Tribunal fédéral du 4 mai 2012. 120. La Cour estime qu’un lien de causalité direct existe entre la violation constatée et le dommage matériel résultant du non ‑ versement de la rente de veuf au requérant à partir du 1 er décembre 2010. À l’instar du Gouvernement, elle considère que les juridictions internes sont mieux placées qu’elle pour évaluer précisément le dommage en question, compte tenu notamment du fait que le montant des rentes peut varier d’une année à l’autre (voir, mutatis mutandis , pour une rente d’invalidité, Di Trizio c. Suisse , n o 7186/09, 2 février 2016, § 120). En outre, il convient d’avoir égard au caractère subsidiaire du mécanisme de l’article 41, aux termes duquel il appartient à la Cour d’accorder à la partie lésée une satisfaction équitable si le droit interne de l’État défendeur ne permet d’effacer qu’imparfaitement les conséquences d’une violation de la Convention. 121. Cela étant, si l’État défendeur reste de façon générale libre de choisir, sous le contrôle du Comité des Ministres, les moyens de s’acquitter de ses obligations au titre de l’article 46 § 1 de la Convention, pour autant que ces moyens soient compatibles avec les conclusions contenues dans l’arrêt de la Cour ( Verein gegen Tierfabriken Schweiz (VgT) c. Suisse (n o 2) [GC], n o 32772/02, § 88, CEDH 2009), la Cour a néanmoins indiqué à de nombreuses occasions qu’un nouveau procès ou une réouverture de la procédure, à la demande de l’intéressé, représente en principe un moyen approprié de redresser la violation constatée (voir, parmi d’autres, Di Trizio , précité, § 120, Gençel c. Turquie , n o 53431/99, § 27, 23 octobre 2003, et Claes et autres c. Belgique , n os 46825/99 et 6 autres, § 53, 2 juin 2005). 122. En l’espèce, la Cour partage l’avis du Gouvernement selon lequel rien n’empêche le requérant de formuler une demande de réparation dans le cadre d’une requête en révision de l’arrêt du Tribunal fédéral qu’il conteste devant la Cour. Une telle possibilité étant explicitement prévue à l’article 122 de la loi sur le Tribunal fédéral du 17 juin 2005, et rien n’indiquant que cette voie soit illusoire, la Cour estime qu’il n’y a pas lieu d’octroyer un quelconque montant au titre du dommage matériel. Dommage moral 123. Par ailleurs, le requérant demande la somme de 18 935,50 CHF pour le dommage moral qu’il dit avoir subi en raison du manque de contacts avec ses filles dû à la suppression de la rente de veuf, et de la nécessité de recourir à l’aide sociale. 124. Le Gouvernement estime qu’il n’y a pas de lien de causalité entre une discrimination fondée sur le sexe et le dommage moral allégué. Par conséquent, il invite la Cour à rejeter les prétentions du requérant formulées à ce titre et à conclure que le constat de violation constitue, en soi, une satisfaction suffisante. 125. La Cour estime que le requérant a subi un dommage moral dû au refus des autorités de lui accorder une rente de veuf à partir du 1 er décembre 2010. Statuant en équité, comme le veut l’article 41, elle considère qu’il y a lieu d’octroyer au requérant la somme de 5 000 euros (EUR) à ce titre. Frais et dépens 126. Le requérant demande tout d’abord 3 300 CHF pour les frais de justice engagés devant les juridictions internes, 350 CHF pour l’introduction de la requête devant la Cour et 7 216,45 CHF pour les observations que son avocat a soumises à la chambre. Pour ce qui est de la procédure devant la Grande Chambre, le requérant demande une somme totale de 26 182,20 CHF pour les frais de représentation juridique, de traduction et autres. Il joint à l’appui de cette demande une facture émise le 8 juin 2021 par M e de Weck, exposant le détail de 37 heures et 20 minutes de travail juridique au tarif horaire réduit de 250 CHF, soit 9 300 CHF, plus 6 heures pour un voyage aller ‑ retour à Strasbourg facturé 1 200 CHF, et les frais afférents à ce déplacement, soit 255 CHF, le total s’élevant pour M e de Weck à 11 583,15 CHF, TVA incluse. Les frais de M e Luginbühl sont chiffrés à 14 598,05 CHF, sans facture ni pièce à l’appui de cette demande. Pour les frais de déplacement qu’il a lui ‑ même engagés pour participer à l’audience devant la Grande Chambre, le requérant demande 448,40 CHF, sans fournir de justificatifs. 127. Le Gouvernement se dit prêt à accepter les prétentions du requérant relatives aux frais exposés devant les juridictions internes et à ceux relatifs à l’introduction de la requête, et à admettre la somme de 3 000 EUR allouée par la chambre pour les observations présentées devant elle. En revanche, pour ce qui est des frais et dépens engagés devant la Grande Chambre, le Gouvernement est d’avis que les frais et honoraires des deux représentants du requérant sont manifestement excessifs (il s’appuie sur l’arrêt Neulinger et Shuruk c. Suisse [GC], n o 41615/07, § 160, CEDH 2010). Il relève en outre que les honoraires du premier représentant n’ont pas été étayés par des justificatifs conformément aux exigences de l’article 60 § 2 du règlement de la Cour. Le Gouvernement estime donc qu’un montant de 9 000 CHF serait approprié pour couvrir la totalité des frais et dépens exposés devant la Grande Chambre. 128. La Cour rappelle qu’au titre de l’article 41 de la Convention, un requérant ne peut obtenir le remboursement de ses frais et dépens que dans la mesure où se trouvent établis leur réalité, leur nécessité et le caractère raisonnable de leur taux. Selon l’article 60 § 2 du règlement, les prétentions soumises au titre de l’article 41 doivent être chiffrées, ventilées par rubrique et accompagnées des justificatifs pertinents, faute de quoi la Cour peut les rejeter, en tout ou en partie (voir, par exemple, A, B et C c. Irlande [GC], n o 25579/05 , § 281, CEDH 2010, et Strand Lobben et autres c. Norvège [GC], n o 37283/13, § 234, 10 septembre 2019). En l’espèce, compte tenu des documents dont elle dispose et de sa jurisprudence, la Cour juge raisonnable d’allouer au requérant la somme de 6 500 EUR pour les frais engagés devant les juridictions internes, pour l’introduction de la requête et pour les observations présentées devant la chambre. Pour ce qui est de la procédure devant la Grande Chambre, la Cour note que le requérant n’a pas produit de pièces attestant qu’il avait payé ou avait l’obligation de payer tous les frais et dépens qu’il dit avoir exposés pour sa représentation juridique, les tâches de traduction et autres. En l’absence de tels documents, la Cour ne voit rien qui puisse l’amener à admettre la réalité de certains frais et dépens dont le remboursement est demandé par le requérant. Compte tenu des documents dont elle dispose et des critères ci ‑ dessus, la Cour estime raisonnable d’accorder au requérant seulement une partie des sommes réclamées au titre des frais d’avocat exposés devant la Grande Chambre, soit 10 000 EUR. Partant, la Cour octroie au requérant un montant total de 16 500 EUR au titre des frais et dépens. Intérêts moratoires 129.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