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45228/99 vom 11. Oktober 2005</w:t>
      </w:r>
    </w:p>
    <w:p>
      <w:r>
        <w:t>Hudoc Ch, 2005-10-11, FR</w:t>
      </w:r>
    </w:p>
    <w:p>
      <w:r>
        <w:rPr>
          <w:b/>
        </w:rPr>
        <w:t xml:space="preserve">Quelle: </w:t>
      </w:r>
      <w:r>
        <w:t>https://mcp.opencaselaw.ch/entscheid/hudoc_ch_45228_99</w:t>
      </w:r>
    </w:p>
    <w:p>
      <w:r>
        <w:t>FR: CourEDH 45228/99 du 11 octobre 2005</w:t>
      </w:r>
    </w:p>
    <w:p>
      <w:r>
        <w:t>IT: CorteEDU 45228/99 del 11 ottobre 2005</w:t>
      </w:r>
    </w:p>
    <w:p>
      <w:pPr>
        <w:pStyle w:val="Heading2"/>
      </w:pPr>
      <w:r>
        <w:t>Regeste</w:t>
      </w:r>
    </w:p>
    <w:p>
      <w:r>
        <w:t>Violation de l'art. 6-1;Préjudice moral - réparation pécuniaire;Remboursement partiel frais et dépens - procédure nationale; Violation: 6;6-1</w:t>
      </w:r>
    </w:p>
    <w:p>
      <w:pPr>
        <w:pStyle w:val="Heading2"/>
      </w:pPr>
      <w:r>
        <w:t>Erwägungen</w:t>
      </w:r>
    </w:p>
    <w:p>
      <w:r>
        <w:rPr>
          <w:b/>
        </w:rPr>
        <w:t>E. 19</w:t>
      </w:r>
    </w:p>
    <w:p>
      <w:r>
        <w:t>Le requérant se plaint du fait que le Tribunal fédéral des assurances lui a refusé la possibilité de s’exprimer sur la prise de position de l’Office fédéral des assurances sociales en date du 9 octobre 1997. Il invoque l’article 6 § 1, libellé ainsi dans sa partie pertinente : « 1. Toute personne a droit à ce que sa cause soit entendue équitablement, (...) par un tribunal (...), qui décidera, soit des contestations sur ses droits et obligations de caractère civil (...) ». A. Arguments des parties</w:t>
      </w:r>
    </w:p>
    <w:p>
      <w:r>
        <w:rPr>
          <w:b/>
        </w:rPr>
        <w:t>E. 20</w:t>
      </w:r>
    </w:p>
    <w:p>
      <w:r>
        <w:t>Le Gouvernement rappelle la jurisprudence de la Cour dans des affaires semblables ayant conclu à des violations de l’article 6 (affaires Nideröst-Huber c. Suisse , arrêt du 18 février 1997, Recueil des arrêts et décisions 1997-I; F.R. c. Suisse , n o 37292/97, 28 juin 2001 ; Ziegler c. Suisse, n o 33499/96, 21 février 2002), et procède à une comparaison avec la présente requête pour parvenir à la conclusion que cette jurisprudence n’est pas applicable pour de multiples raisons.</w:t>
      </w:r>
    </w:p>
    <w:p>
      <w:r>
        <w:rPr>
          <w:b/>
        </w:rPr>
        <w:t>E. 21</w:t>
      </w:r>
    </w:p>
    <w:p>
      <w:r>
        <w:t>Ainsi, le Gouvernment souligne qu’à la différence de la situation rencontrée dans les trois affaires précitées, la prise de position sur laquelle le requérant n’a pas été invité à s’exprimer n’émanait pas d’une autorité judiciaire indépendante, mais d’un organe administratif, soit l’Office fédéral, qui, n’ayant pas eu une connaissance approfondie du dossier, n’aurait pas pu exercer une influence décisive sur l’arrêt du Tribunal fédéral des assurances.</w:t>
      </w:r>
    </w:p>
    <w:p>
      <w:r>
        <w:rPr>
          <w:b/>
        </w:rPr>
        <w:t>E. 22</w:t>
      </w:r>
    </w:p>
    <w:p>
      <w:r>
        <w:t>Ensuite, quant au contenu de la prise de position par l’Office fédéral, le Gouvernement expose que ces observations ne sauraient être assimilées à celles d’une instance inférieure puisqu’elles ne contiennent ni de conclusion à l’égard de l’issue de la procédure, ni de considérations factuelles et juridiques allant au-delà d’une simple synthèse ou de généralités.</w:t>
      </w:r>
    </w:p>
    <w:p>
      <w:r>
        <w:rPr>
          <w:b/>
        </w:rPr>
        <w:t>E. 23</w:t>
      </w:r>
    </w:p>
    <w:p>
      <w:r>
        <w:t>En même temps, et contrairement à ce qui fut le cas dans l’affaire F.R. c. Suisse précitée, le Tribunal fédéral ne s’est nullement fondé, selon le Gouvernement, sur la prise de position de l’Office fédéral pour rendre son arrêt et n’a d’ailleurs pas fait la moindre référence à celle-ci.</w:t>
      </w:r>
    </w:p>
    <w:p>
      <w:r>
        <w:rPr>
          <w:b/>
        </w:rPr>
        <w:t>E. 24</w:t>
      </w:r>
    </w:p>
    <w:p>
      <w:r>
        <w:t>Enfin, le Gouvernement estime que le requérant, n’ayant pas réagi à la communication de l’Office fédéral, a renoncé à bénéficier de garanties de procédure découlant de l’article 6 § 1 de la Convention.</w:t>
      </w:r>
    </w:p>
    <w:p>
      <w:r>
        <w:rPr>
          <w:b/>
        </w:rPr>
        <w:t>E. 25</w:t>
      </w:r>
    </w:p>
    <w:p>
      <w:r>
        <w:t>Le requérant, par contre, considérant la jurisprudence précitée applicable au cas concret, ne voit pas l’intérêt de demander une prise de position de l’Office fédéral, si ce n’est pour faciliter et préparer la décision ultérieure du Tribunal fédéral des assurances.</w:t>
      </w:r>
    </w:p>
    <w:p>
      <w:r>
        <w:rPr>
          <w:b/>
        </w:rPr>
        <w:t>E. 26</w:t>
      </w:r>
    </w:p>
    <w:p>
      <w:r>
        <w:t>A son avis, cet office, bien qu’étant une instance administrative, a tiré de manière significative des conclusions de droit et a donné des définitions ainsi que des recommandations comme s’il s’agissait d’une instance judiciaire. Même s’il s’est abstenu de tirer des conclusions définitives, il a procédé néanmoins à une constation des faits et du droit peu équilibrée et défavorable au requérant, soutenant ainsi l’argumentation de la partie adverse d’une manière qui cadre mal avec les exigences de l’article 6 § 1 de la Convention.</w:t>
      </w:r>
    </w:p>
    <w:p>
      <w:r>
        <w:rPr>
          <w:b/>
        </w:rPr>
        <w:t>E. 27</w:t>
      </w:r>
    </w:p>
    <w:p>
      <w:r>
        <w:t>Par conséquent, le requérant, concluant que la prise de position avait comme objectif de compromettre l’issue de la procédure devant le Tribunal fédéral des assurances et qu’elle était effectivement susceptible de le faire, qualifie l’influence de la prise de position exercée en l’espèce sur la décision du Tribunal fédéral des assurances encore plus importante que dans l’affaire Nideröst-Huber , précitée, même si le Tribunal fédéral des assurances, dans son arrêt du 2 avril 1998, ne s’y réfère pas explicitement. B. Appréciation de la Cour</w:t>
      </w:r>
    </w:p>
    <w:p>
      <w:r>
        <w:rPr>
          <w:b/>
        </w:rPr>
        <w:t>E. 28</w:t>
      </w:r>
    </w:p>
    <w:p>
      <w:r>
        <w:t>La Cour rappelle que le concept du procès équitable implique a priori la faculté pour les parties au procès de prendre connaissance de toute pièce ou observation présentées, et de pouvoir en discuter ( Lobo Machado c. Portugal , arrêt du 20 février 1996, Recueil 1996 ‑ I, p. 206 et s, § 31, Vermeulen c. Belgique , arrêt du 20 février 1996, Recueil des arrêts et décisions 1996 ‑ I, p. 234, § 33 ; Kress c. France [GC], n o 39594/98, § 74 ; Yvon c. France , n o 44962/98, § 38, CEDH 2003 ‑ V CEDH 2001 ‑ VI ; F.R . c. Suisse , précité, § 36, Ziegler , précité, § 33).</w:t>
      </w:r>
    </w:p>
    <w:p>
      <w:r>
        <w:rPr>
          <w:b/>
        </w:rPr>
        <w:t>E. 29</w:t>
      </w:r>
    </w:p>
    <w:p>
      <w:r>
        <w:t>La Cour estime que l’espèce rappelle les situations qui existaient dans les affaires précitées, Nideröst-Huber, F.R. c. Suisse et Ziegler . Dans la première, les observations de la juridiction inférieure n’avaient pas été communiquées au requérant par le Tribunal fédéral. Dans l’affaire F.R. c. Suisse , le Tribunal fédéral des assurances avait dûment communiqué les observations de la juridiction inférieure au requérant ; celui-ci avait soumis une réponse que le Tribunal fédéral des assurances avait refusé de prendre en compte. Dans l’affaire Ziegler , enfin, les requérants se sont vus refuser l’autorisation de répondre aux observations de l’instance inférieure et de la partie adverse. Dans les trois affaires, la Cour a conclu à la violation de l’article 6 § 1 de la Convention ( Nideröst-Huber, précité, p. 109, §§ 27, 32 ; F.R. c. Suisse , précité, § 41, Ziegler , précité, § 39).</w:t>
      </w:r>
    </w:p>
    <w:p>
      <w:r>
        <w:rPr>
          <w:b/>
        </w:rPr>
        <w:t>E. 30</w:t>
      </w:r>
    </w:p>
    <w:p>
      <w:r>
        <w:t>La Cour ne méconnaît pas que la présente affaire se distingue de la jurisprudence précitée, dans la mesure où elle porte sur le droit de réponse aux observations, émanant non d’une juridiction inférieure , mais d’une autorité administrative, soit l’Office fédéral, chargé de surveiller les instances administratives compétentes en matière d’assurances sociales. Néanmoins, la Cour considère que cette différence importe peu. Bien au contraire, compte tenu de l’importance des observations provenant d’une autorité de surveillance fédérale, spécialisée en matière d’assurances sociales, et non partie à la procédure litigieuse, il paraît peu vraisemblable que la haute juridiction ne leur ait pas prêté attention (voir, mutatis mutandis , Ziegler, précité, § 38).</w:t>
      </w:r>
    </w:p>
    <w:p>
      <w:r>
        <w:rPr>
          <w:b/>
        </w:rPr>
        <w:t>E. 31</w:t>
      </w:r>
    </w:p>
    <w:p>
      <w:r>
        <w:t>Ensuite, la Cour note, quant aux allégations du Gouvernement selon lesquelles l’Office fédéral n’a pas tiré de conclusion à l’égard de l’issue de la procédure et que le Tribunal fédéral des assurances ne s’est nullement fondé sur la prise de position litigieuse pour rendre son arrêt, que l’Office fédéral, certes, n’a pas tiré de conclusion définitive par rapport aux montants dus de la part du Fonds de prévoyance du personnel de l’ancien employeur du requérant. En revanche, la Cour est d’avis que les observations litigieuses contenaient des informations importantes concernant la question des motifs qui avaient mené à la résiliation du contrat du requérant, question essentielle pour l’issue de la procédure. A ce sujet, la Cour constate que l’Office fédéral a cité, d’une part, la jurisprudence pertinente pour la notion litigieuse de « renvoi pour des motifs économiques » et, d’autre part, qu’il a renvoyé à deux documents versés au dossier ; à savoir un plan social élaboré par l’ancien employeur du requérant ainsi que sa lettre de résiliation, qui donnaient sans équivoques des indices quant aux raisons pour le licenciement du requérant. Dès lors, la Cour est d’avis que les observations litigieuses étaient sans doute susceptibles d’avoir un certain effet sur l’approche adoptée ultérieurement par le Tribunal fédéral des assurances.</w:t>
      </w:r>
    </w:p>
    <w:p>
      <w:r>
        <w:rPr>
          <w:b/>
        </w:rPr>
        <w:t>E. 32</w:t>
      </w:r>
    </w:p>
    <w:p>
      <w:r>
        <w:t>La Cour rappelle de surcroît que l’effet réel des observations sur l’arrêt de la haute juridiction suisse importe peu. Les parties à un litige doivent avoir la possibilité d’indiquer si elles estiment qu’un document appelle des commentaires de leur part. Il y va notamment de la confiance des justiciables dans le fonctionnement de la justice : elle se fonde, entre autres, sur l’assurance d’avoir pu s’exprimer sur toute pièce au dossier ( Ziegler, précité, § 38).</w:t>
      </w:r>
    </w:p>
    <w:p>
      <w:r>
        <w:rPr>
          <w:b/>
        </w:rPr>
        <w:t>E. 33</w:t>
      </w:r>
    </w:p>
    <w:p>
      <w:r>
        <w:t>La Cour a soulevé à maintes reprises que l’article 6 § 1 de la Convention vise avant tout à préserver les intérêts des parties et ceux d’une bonne administration de la justice (voir, mutatis mutandis , l’arrêt Acquaviva c. France du 21 novembre 1995, série A n o 333-A, p. 17, § 66). En l’espèce, le respect du droit à un procès équitable, garanti par l’article 6 § 1 de la Convention, exigeait que le requérant eût la faculté de soumettre ses commentaires sur les observations présentées par l’Office fédéral. Or cette possibilité ne lui a pas été donnée.</w:t>
      </w:r>
    </w:p>
    <w:p>
      <w:r>
        <w:rPr>
          <w:b/>
        </w:rPr>
        <w:t>E. 34</w:t>
      </w:r>
    </w:p>
    <w:p>
      <w:r>
        <w:t>Ce constat implique qu’il y a eu violation de l’article 6 § 1 de la Convention. II. SUR L’APPLICATION DE L’ARTICLE 41 DE LA CONVENTION</w:t>
      </w:r>
    </w:p>
    <w:p>
      <w:r>
        <w:rPr>
          <w:b/>
        </w:rPr>
        <w:t>E. 35</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36</w:t>
      </w:r>
    </w:p>
    <w:p>
      <w:r>
        <w:t>Le requérant ne prétend pas que le refus du droit de répondre aux observations de l’Office fédéral des assurances sociales lui ait causé un préjudice matériel.</w:t>
      </w:r>
    </w:p>
    <w:p>
      <w:r>
        <w:rPr>
          <w:b/>
        </w:rPr>
        <w:t>E. 37</w:t>
      </w:r>
    </w:p>
    <w:p>
      <w:r>
        <w:t>En revanche, il réclame une somme de 2 000 EUR pour préjudice moral.</w:t>
      </w:r>
    </w:p>
    <w:p>
      <w:r>
        <w:rPr>
          <w:b/>
        </w:rPr>
        <w:t>E. 38</w:t>
      </w:r>
    </w:p>
    <w:p>
      <w:r>
        <w:t>Le gouvernement défendeur, conformément à la jurisprudence constante de la Cour, estime que le simple constat de violation du droit à un procès équitable, au sens de l’article 6 § 1 de la Convention, constituerait une satisfaction équitable.</w:t>
      </w:r>
    </w:p>
    <w:p>
      <w:r>
        <w:rPr>
          <w:b/>
        </w:rPr>
        <w:t>E. 39</w:t>
      </w:r>
    </w:p>
    <w:p>
      <w:r>
        <w:t>La Cour estime qu’en l’espèce, le constat de violation ne suffit pas à réparer le préjudice moral subi par le requérant et considère une somme de 2 000 EUR comme appropriée. B. Frais et dépens</w:t>
      </w:r>
    </w:p>
    <w:p>
      <w:r>
        <w:rPr>
          <w:b/>
        </w:rPr>
        <w:t>E. 40</w:t>
      </w:r>
    </w:p>
    <w:p>
      <w:r>
        <w:t>Le requérant demande une somme totale de 10 300 CHF (environ 6 650 EUR) au titre des frais et dépens pour les honoraires d’avocat relatifs à la procédure nationale et à la procédure devant les organes de Strasbourg.</w:t>
      </w:r>
    </w:p>
    <w:p>
      <w:r>
        <w:rPr>
          <w:b/>
        </w:rPr>
        <w:t>E. 41</w:t>
      </w:r>
    </w:p>
    <w:p>
      <w:r>
        <w:t>D’après le Gouvernement, il convient de prendre en considération le fait que seul un des deux griefs soulevés par le requérant a été retenu par la Cour dans sa décision sur la recevabilité du 4 mai 2004. Il s’ensuit que le montant des frais d’avocat du requérant ne devrait couvrir que les frais exposés pour faire redresser la violation alléguée eu égard au grief déclaré recevable par la Cour ( Olsson c. Suède (n o 2) , arrêt du 27 novembre 1992, série A n o 250, § 113). Le Gouvernement, invoquant l’article 5 lettre b) de la loi fédérale du 2 septembre 1999 régissant la taxe sur la valeur ajoutée (LTVA), estime que le montant d’environ 730 CHF (470 EUR), inclus dans la somme totale de 10 300 CHF, ne peut pas être réclamé, étant donné qu’en vertu de l’article 14 alinéa 3, lettre c) de ladite loi, est réputé « lieu des prestations de service », par exemple d’un avocat, l’endroit où le destinataire, soit en l’espèce le requérant, a son domicile, à savoir aux Etats-Unis. Par conséquent, les prestations de l’avocat du requérant ne sont pas soumises à la taxe sur la valeur ajoutée et le montant d’environ 730 CHF ne peut pas réclamé. Dès lors, et tenant compte des montants alloués par la Cour dans d’autres affaires suisses, le Gouvernement considère une somme de 4 500 CHF (environ 2 900 EUR) comme appropriée afin de compenser les frais et dépens encourus par le requérant.</w:t>
      </w:r>
    </w:p>
    <w:p>
      <w:r>
        <w:rPr>
          <w:b/>
        </w:rPr>
        <w:t>E. 42</w:t>
      </w:r>
    </w:p>
    <w:p>
      <w:r>
        <w:t>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 o 66, § 36 ; Hertel c. Suisse , arrêt du 25 août 1998, Recueil 1998-VI, § 63). Il faut aussi que se trouvent établis leur réalité, leur nécessité et le caractère raisonnable de leur taux ( Bottazzi c. Italie [GC], n o 34884/97, § 30, CEDH 1999-V).</w:t>
      </w:r>
    </w:p>
    <w:p>
      <w:r>
        <w:rPr>
          <w:b/>
        </w:rPr>
        <w:t>E. 43</w:t>
      </w:r>
    </w:p>
    <w:p>
      <w:r>
        <w:t>Dans le cas d’espèce, le requérant est habilité à demander le paiement des frais et dépens relatifs aux procédures devant la Commission et la Cour. Quant à celles-ci, la Cour considère, à l’instar du Gouvernement, que pour le remboursement des frais et dépens, il y a lieu de tenir compte du fait que les griefs du requérant ont été en partie déclarés irrecevables.</w:t>
      </w:r>
    </w:p>
    <w:p>
      <w:r>
        <w:rPr>
          <w:b/>
        </w:rPr>
        <w:t>E. 44</w:t>
      </w:r>
    </w:p>
    <w:p>
      <w:r>
        <w:t>La Cour juge les prétentions du requérant excessives. Compte tenu des éléments en sa possession et des critères dégagés dans sa jurisprudence, la Cour, statuant en équité, octroie au requérant la somme globale de 3 500 EUR pour ses frais et dépens. C. Intérêts moratoires</w:t>
      </w:r>
    </w:p>
    <w:p>
      <w:r>
        <w:rPr>
          <w:b/>
        </w:rPr>
        <w:t>E. 45</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