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3688/04 vom 26. Juli 2007</w:t>
      </w:r>
    </w:p>
    <w:p>
      <w:r>
        <w:t>Hudoc Ch, 2007-07-26, FR</w:t>
      </w:r>
    </w:p>
    <w:p>
      <w:r>
        <w:rPr>
          <w:b/>
        </w:rPr>
        <w:t xml:space="preserve">Quelle: </w:t>
      </w:r>
      <w:r>
        <w:t>https://mcp.opencaselaw.ch/entscheid/hudoc_ch_3688_04</w:t>
      </w:r>
    </w:p>
    <w:p>
      <w:r>
        <w:t>FR: CourEDH 3688/04 du 26 juillet 2007</w:t>
      </w:r>
    </w:p>
    <w:p>
      <w:r>
        <w:t>IT: CorteEDU 3688/04 del 26 luglio 2007</w:t>
      </w:r>
    </w:p>
    <w:p>
      <w:pPr>
        <w:pStyle w:val="Heading2"/>
      </w:pPr>
      <w:r>
        <w:t>Regeste</w:t>
      </w:r>
    </w:p>
    <w:p>
      <w:r>
        <w:t>Violation de l'art. 5-1;Dommage matériel - demande rejetée;Préjudice moral - réparation pécuniaire;Remboursement partiel frais et dépens; Violation: 5;5-1</w:t>
      </w:r>
    </w:p>
    <w:p>
      <w:pPr>
        <w:pStyle w:val="Heading2"/>
      </w:pPr>
      <w:r>
        <w:t>Erwägungen</w:t>
      </w:r>
    </w:p>
    <w:p>
      <w:r>
        <w:rPr>
          <w:b/>
        </w:rPr>
        <w:t>E. 20</w:t>
      </w:r>
    </w:p>
    <w:p>
      <w:r>
        <w:t>Le requérant allègue que son placement en détention, ordonné le 11 septembre 2003 par le président du tribunal correctionnel, ne reposait pas sur une base légale suffisante au sens de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f) s'il s'agit de l'arrestation ou de la détention régulières d'une personne pour l'empêcher de pénétrer irrégulièrement dans le territoire, ou contre laquelle une procédure d'expulsion ou d'extradition est en cours. » A. Sur la recevabilité</w:t>
      </w:r>
    </w:p>
    <w:p>
      <w:r>
        <w:rPr>
          <w:b/>
        </w:rPr>
        <w:t>E. 21</w:t>
      </w:r>
    </w:p>
    <w:p>
      <w:r>
        <w:t>La Cour constate que la requête n'est pas manifestement mal fondée au sens de l'article 35 § 3 de la Convention. Elle relève par ailleurs que la requête ne se heurte à aucun autre motif d'irrecevabilité. Il convient donc de la déclarer recevable. B. Sur le fond 1. Arguments des parties</w:t>
      </w:r>
    </w:p>
    <w:p>
      <w:r>
        <w:rPr>
          <w:b/>
        </w:rPr>
        <w:t>E. 22</w:t>
      </w:r>
    </w:p>
    <w:p>
      <w:r>
        <w:t>Le requérant fait valoir que l'article 59 du CPP/VD ne permettait pas de fonder son placement en détention, ordonné le 11 septembre 2003 par le président du tribunal correctionnel. Il dénonce une violation de l'article 5 § 1 de la Convention à raison de l'absence d'une base légale pertinente.</w:t>
      </w:r>
    </w:p>
    <w:p>
      <w:r>
        <w:rPr>
          <w:b/>
        </w:rPr>
        <w:t>E. 23</w:t>
      </w:r>
    </w:p>
    <w:p>
      <w:r>
        <w:t>Le requérant relève que le tribunal cantonal ainsi que le Tribunal fédéral ont confirmé qu'aucune enquête pénale n'était en cours à son encontre à l'époque de son placement en détention préventive. Etant donné qu'on ne saurait dès lors parler de « prévenu » ou de « présomptions de culpabilité », le requérant considère comme inadmissible l'interprétation extensive qui a été donnée de l'article 59 CPP/VD. Il soutient que, pour qu'une atteinte aussi grave que la mise en détention préventive soit régulière, il convient que la disposition légale la justifiant ne soit pas sujette à interprétation et qu'elle soit suffisamment claire pour que le justiciable puisse se rendre compte sans aucun doute possible de la sanction qui le menace. Le requérant conclut donc que l'application de la disposition régissant la détention préventive à son égard était illégale, même s'il existait un risque de récidive. Il soutient qu'une privation de liberté à des fins d'assistance, régie par le code civil, était seule envisageable, et que cette mesure ne relevait aucunement des organes de la justice pénale.</w:t>
      </w:r>
    </w:p>
    <w:p>
      <w:r>
        <w:rPr>
          <w:b/>
        </w:rPr>
        <w:t>E. 24</w:t>
      </w:r>
    </w:p>
    <w:p>
      <w:r>
        <w:t>Le Gouvernement souligne que seule la légalité de la détention est litigieuse en l'espèce et que le requérant ne fait pas valoir que sa privation de liberté n'aurait pas été nécessaire ou qu'elle n'était pas justifiée par l'un des motifs indiqués à l'article 5 § 1 de la Convention.</w:t>
      </w:r>
    </w:p>
    <w:p>
      <w:r>
        <w:rPr>
          <w:b/>
        </w:rPr>
        <w:t>E. 25</w:t>
      </w:r>
    </w:p>
    <w:p>
      <w:r>
        <w:t>Le Gouvernement soutient que la détention litigieuse était conforme au droit interne. Il avance que l'article 59 CPP/VD, même s'il s'applique avant tout au « prévenu » à l'égard duquel il existe des « présomptions de culpabilité », constitue néanmoins une base légale suffisante au regard de l'article 5 § 1 de la Convention pour justifier la détention d'un accusé condamné à une peine privative de liberté suspendue au profit d'un traitement médico-social ambulatoire jusqu'à ce qu'une décision définitive soit prise quant au remplacement de cette mesure par un placement en établissement spécialisé.</w:t>
      </w:r>
    </w:p>
    <w:p>
      <w:r>
        <w:rPr>
          <w:b/>
        </w:rPr>
        <w:t>E. 26</w:t>
      </w:r>
    </w:p>
    <w:p>
      <w:r>
        <w:t>Eu égard au critère de prévisibilité, le Gouvernement constate que le Tribunal fédéral avait jugé, dans une affaire semblable concernant le canton de Zurich, que la disposition régissant la détention préventive pouvait raisonnablement être interprétée comme permettant aussi une détention pendant la procédure conduisant à une décision postérieure au jugement, puisqu'on ne pouvait pas attendre du législateur qu'il envisage précisément toutes les situations possibles et qu'au stade de cette procédure aussi, la détention préventive constituait le meilleur moyen de garantir l'exécution éventuelle d'un internement ou d'un traitement en établissement. Le Gouvernement relève que le Tribunal fédéral a confirmé sa jurisprudence par deux arrêts rendus en 2005 et 2006 et que tous ces arrêts étaient accessibles par Internet. Il est d'avis que la présente affaire se distingue en cela clairement de l'affaire Baranowski c. Pologne (n o 28358/95, § 54, CEDH 2000 ‑ III), où le maintien en détention provisoire résultait uniquement d'une pratique ne reposant ni sur une disposition législative ni sur une jurisprudence particulière.</w:t>
      </w:r>
    </w:p>
    <w:p>
      <w:r>
        <w:rPr>
          <w:b/>
        </w:rPr>
        <w:t>E. 27</w:t>
      </w:r>
    </w:p>
    <w:p>
      <w:r>
        <w:t>Le Gouvernement observe que le Tribunal fédéral avait subordonné son approbation de la solution retenue à deux conditions, à savoir que la procédure conduisant à une décision postérieure au jugement aboutît de façon suffisamment vraisemblable à une mesure d'internement ou à un traitement en établissement, et qu'au moins un des motifs de détention explicitement prévus fût réalisé. Selon le Gouvernement, ces conditions étaient remplies en l'espèce, puisque la détention litigieuse était fondée sur les alinéas a), c) et e) de l'article 5 § 1 et que la procédure ouverte par la requête du service pénitentiaire a abouti à un nouveau jugement du tribunal correctionnel qui a révoqué, par décision du 22 janvier 2004, la suspension des peines prononcées à l'encontre du requérant. Ainsi, et même si la modification n'a porté que sur les mesures de sûreté à appliquer et sur l'exécution des peines suspendues, à l'exclusion du verdict de culpabilité et de l'appréciation de la peine correspondante, le requérant se serait retrouvé dans la même situation procédurale que celle qui était la sienne avant le premier jugement du tribunal correctionnel, ce qui justifiait d'appliquer les règles sur la détention préventive.</w:t>
      </w:r>
    </w:p>
    <w:p>
      <w:r>
        <w:rPr>
          <w:b/>
        </w:rPr>
        <w:t>E. 28</w:t>
      </w:r>
    </w:p>
    <w:p>
      <w:r>
        <w:t>De surcroît, le Gouvernement relève que, dans la terminologie des codes de procédure pénale de Suisse romande, il n'existe aucun terme spécifique pour désigner la détention ordonnée à la suite d'un jugement pénal sur le fond mais risquant d'être sujette à des modifications ultérieures. Selon le Gouvernement, ce type de « détention pour des motifs de sûreté » doit être soumis aux mêmes conditions que la détention préventive proprement dite.</w:t>
      </w:r>
    </w:p>
    <w:p>
      <w:r>
        <w:rPr>
          <w:b/>
        </w:rPr>
        <w:t>E. 29</w:t>
      </w:r>
    </w:p>
    <w:p>
      <w:r>
        <w:t>Le Gouvernement soutient que le requérant pouvait demander sa mise en liberté à tout moment auprès de l'autorité judiciaire. Il fait valoir que cela, ainsi que le fait qu'il existait une pratique jurisprudentielle, avait suffi à la Cour dans l'affaire Laumont c. France (n o 43626/98, §§ 51-53, CEDH 2001 ‑ XI) pour conclure à l'absence de violation de l'article 5 § 1 de la Convention.</w:t>
      </w:r>
    </w:p>
    <w:p>
      <w:r>
        <w:rPr>
          <w:b/>
        </w:rPr>
        <w:t>E. 30</w:t>
      </w:r>
    </w:p>
    <w:p>
      <w:r>
        <w:t>Relevant, enfin, les points communs que cette requête présente avec l'affaire Eriksen c. Norvège (arrêt du 27 mai 1997, Recueil des arrêts et décisions 1997 ‑ III), le Gouvernement conclut que la détention litigieuse se justifiait au regard de l'alinéa a) comme de l'alinéa c) et e) de l'article 5 § 1. 2. Appréciation de la Cour</w:t>
      </w:r>
    </w:p>
    <w:p>
      <w:r>
        <w:rPr>
          <w:b/>
        </w:rPr>
        <w:t>E. 31</w:t>
      </w:r>
    </w:p>
    <w:p>
      <w:r>
        <w:t>La Cour note que le requérant conteste uniquement l'absence de base légale pour justifier sa détention. Il n'allègue pas que sa privation de liberté n'aurait pas été nécessaire ou qu'elle n'était pas justifiée par l'un des motifs indiqués à l'article 5 § 1 de la Convention. La question à trancher est donc uniquement celle de savoir si le requérant a été privé de sa liberté « selon les voies légales » au sens de l'article 5 § 1 de la Convention.</w:t>
      </w:r>
    </w:p>
    <w:p>
      <w:r>
        <w:rPr>
          <w:b/>
        </w:rPr>
        <w:t>E. 32</w:t>
      </w:r>
    </w:p>
    <w:p>
      <w:r>
        <w:t>La Cour rappelle que les termes « régulièrement » et « selon les voies légales » qui figurent à l'article 5 § 1 renvoient pour l'essentiel à la législation nationale et consacrent l'obligation d'en observer les normes de fond comme de procédure. Toutefois, la conformité de la détention au regard du droit interne n'est pas toujours l'élément décisif. La Cour doit, en outre, être convaincue que la détention pendant la période en jeu est conforme au but de l'article 5 § 1 de la Convention, à savoir protéger l'individu de toute privation de liberté arbitraire (voir, parmi beaucoup d'autres, Erkalo c. Pays-Bas , arrêt du 2 septembre 1998, Recueil 1998 ‑ VI, p. 2477, § 52, Baranowski, précité, §§ 50 et 51, Ječius c. Lituanie , n o 34578/97, § 56, CEDH 2000 ‑ IX, et Laumont, précité, § 43).</w:t>
      </w:r>
    </w:p>
    <w:p>
      <w:r>
        <w:rPr>
          <w:b/>
        </w:rPr>
        <w:t>E. 33</w:t>
      </w:r>
    </w:p>
    <w:p>
      <w:r>
        <w:t>La Cour observe que la procédure intentée par le service pénitentiaire était postérieure au jugement et relève donc de l'ancien article 43 § 3 du code pénal suisse ainsi que des articles 482 et 483 CPP/VD. Ces dispositions ne contiennent aucune allusion à une éventuelle mise en détention. Faute de disposition pertinente, les instances internes ont fondé la détention du requérant sur l'article 59 CPP/VD, qui régit la détention préventive. Il convient donc d'analyser si cette disposition, appliquée au cas d'espèce, remplit les exigences posées par l'article 5 § 1.</w:t>
      </w:r>
    </w:p>
    <w:p>
      <w:r>
        <w:rPr>
          <w:b/>
        </w:rPr>
        <w:t>E. 34</w:t>
      </w:r>
    </w:p>
    <w:p>
      <w:r>
        <w:t>Vu l'importance de la liberté de la personne, la Cour tient à souligner qu'il est essentiel que le droit national applicable remplisse le critère de « légalité » fixé par la Convention, qui exige que le droit écrit comme non écrit soit assez précis pour permettre au citoyen, en s'entourant au besoin de conseils éclairés, de prévoir, à un degré raisonnable dans les circonstances de la cause, les conséquences de nature à dériver d'un acte déterminé ( Steel et autres c. Royaume-Uni , arrêt du 23 septembre 1998, Recueil des arrêts et décisions 1998 ‑ VII, p. 2735, § 54, et Laumont, précité, § 45).</w:t>
      </w:r>
    </w:p>
    <w:p>
      <w:r>
        <w:rPr>
          <w:b/>
        </w:rPr>
        <w:t>E. 35</w:t>
      </w:r>
    </w:p>
    <w:p>
      <w:r>
        <w:t>A cet égard, la Cour rappelle que la pratique consistant à détenir une personne en absence d'une base légale spécifique, est incompatible avec les principes de sécurité juridique et de protection contre l'arbitraire, qui constituent des éléments fondamentaux à la fois de la Convention et de l'Etat de droit ( Baranowski, précité, §§ 54-56, et Ječius , précité, § 62).</w:t>
      </w:r>
    </w:p>
    <w:p>
      <w:r>
        <w:rPr>
          <w:b/>
        </w:rPr>
        <w:t>E. 36</w:t>
      </w:r>
    </w:p>
    <w:p>
      <w:r>
        <w:t>Quant aux circonstances de la cause, la Cour relève que, selon son libellé, l'article 59 CPP/VD, sur lequel la détention litigieuse était fondée, renferme les conditions justifiant le placement en détention préventive d'un « prévenu à l'égard duquel il existe des présomptions suffisantes de culpabilité ».</w:t>
      </w:r>
    </w:p>
    <w:p>
      <w:r>
        <w:rPr>
          <w:b/>
        </w:rPr>
        <w:t>E. 37</w:t>
      </w:r>
    </w:p>
    <w:p>
      <w:r>
        <w:t>La Cour note que, dans un arrêt du 25 juin 2002, le Tribunal fédéral a confirmé pour le canton de Zurich que la disposition sur la détention préventive pouvait servir de base légale à une détention postérieure au jugement. Cet arrêt a été publié dans le Recueil officiel des arrêts du Tribunal fédéral et était dès lors accessible au requérant et à son défenseur. Cette jurisprudence a été confirmée par deux arrêts rendus en 2005 et 2006.</w:t>
      </w:r>
    </w:p>
    <w:p>
      <w:r>
        <w:rPr>
          <w:b/>
        </w:rPr>
        <w:t>E. 38</w:t>
      </w:r>
    </w:p>
    <w:p>
      <w:r>
        <w:t>Selon le Gouvernement, le fait qu'il existait une jurisprudence du Tribunal fédéral confirmant la légalité de l'utilisation de la disposition sur la détention préventive à des cas où une détention postérieure au jugement est en jeu distingue la présente affaire de l'affaire Baranowski précitée, et devrait donc amener la Cour à conclure à l'absence de violation de l'article 5 § 1, comme dans l'arrêt Laumont, précité.</w:t>
      </w:r>
    </w:p>
    <w:p>
      <w:r>
        <w:rPr>
          <w:b/>
        </w:rPr>
        <w:t>E. 39</w:t>
      </w:r>
    </w:p>
    <w:p>
      <w:r>
        <w:t>Dans ce dernier arrêt, la Cour a conclu à la non-violation de l'article 5 § 1 en dépit de l'absence de base légale spécifique justifiant la détention de l'intéressé, parce que la détention était fondée sur une jurisprudence « ancienne et constante » de la Cour de cassation française.</w:t>
      </w:r>
    </w:p>
    <w:p>
      <w:r>
        <w:rPr>
          <w:b/>
        </w:rPr>
        <w:t>E. 40</w:t>
      </w:r>
    </w:p>
    <w:p>
      <w:r>
        <w:t>La Cour constate que, contrairement à l'affaire Laumont précitée, il n'existait en Suisse à l'époque des faits qu'un seul arrêt du Tribunal fédéral traitant du problème de la base légale de la détention dans une procédure postérieure au jugement, à savoir l'arrêt du Tribunal fédéral du 25 juin 2002 concernant le canton de Zurich.</w:t>
      </w:r>
    </w:p>
    <w:p>
      <w:r>
        <w:rPr>
          <w:b/>
        </w:rPr>
        <w:t>E. 41</w:t>
      </w:r>
    </w:p>
    <w:p>
      <w:r>
        <w:t>Au regard de la gravité de l'ingérence dans la liberté personnelle du requérant, la Cour considère que l'existence d'un seul précédent jurisprudentiel qui, de plus, ne concernait pas le même canton que celui du requérant, ne saurait constituer une base légale suffisamment précise et est donc incompatible avec les principes de sécurité juridique et de protection contre l'arbitraire. L'argument selon lequel il existait la possibilité qu'un nouveau jugement du tribunal correctionnel puisse apporter des modifications à l'exécution des peines et, par conséquent, confirmer l'incarcération de l'intéressé a posteriori n'a pas non plus apporté la sécurité juridique requise au moment même du placement en détention.</w:t>
      </w:r>
    </w:p>
    <w:p>
      <w:r>
        <w:rPr>
          <w:b/>
        </w:rPr>
        <w:t>E. 42</w:t>
      </w:r>
    </w:p>
    <w:p>
      <w:r>
        <w:t>Le Gouvernement soutient, à juste titre, que le Tribunal fédéral a ultérieurement confirmé sa jurisprudence par deux arrêts rendus en 2005 et 2006. Cependant, comme la détention litigieuse a eu lieu entre septembre 2003 et janvier 2004, le requérant ne pouvait pas avoir connaissance de ces arrêts et ils ne contribuaient donc pas, à l'époque, à rendre la situation juridique plus prévisible.</w:t>
      </w:r>
    </w:p>
    <w:p>
      <w:r>
        <w:rPr>
          <w:b/>
        </w:rPr>
        <w:t>E. 43</w:t>
      </w:r>
    </w:p>
    <w:p>
      <w:r>
        <w:t>Le Gouvernement ne saurait d'ailleurs tirer argument du fait que les codes de procédure pénale de Suisse romande ne contiennent pas de terme, ni, d'ailleurs, de dispositions prévoyant la possibilité d'ordonner la détention dans le cadre d'une procédure postérieure au jugement, puisque c'est justement cette absence de base légale qui est mise en cause en l'espèce.</w:t>
      </w:r>
    </w:p>
    <w:p>
      <w:r>
        <w:rPr>
          <w:b/>
        </w:rPr>
        <w:t>E. 44</w:t>
      </w:r>
    </w:p>
    <w:p>
      <w:r>
        <w:t>Pour autant que le Gouvernement invoque l'affaire Eriksen précitée, il y a lieu de préciser que ce ne sont pas les motifs de la détention qui sont contestés en l'espèce, mais uniquement la base légale, et que la mesure que le président du tribunal correctionnel a prise aurait pu, en principe, être conforme à l'article 5 § 1 si elle s'était fondée sur une base légale adéquate.</w:t>
      </w:r>
    </w:p>
    <w:p>
      <w:r>
        <w:rPr>
          <w:b/>
        </w:rPr>
        <w:t>E. 45</w:t>
      </w:r>
    </w:p>
    <w:p>
      <w:r>
        <w:t>Au vu de ce qui précède, la Cour conclut qu'il y a eu violation de l'article 5 § 1. II. SUR L'APPLICATION DE L'ARTICLE 41 DE LA CONVENTION</w:t>
      </w:r>
    </w:p>
    <w:p>
      <w:r>
        <w:rPr>
          <w:b/>
        </w:rPr>
        <w:t>E. 46</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47</w:t>
      </w:r>
    </w:p>
    <w:p>
      <w:r>
        <w:t>Le requérant réclame 33 250 francs suisses (CHF – environ 20 163 euros (EUR)) au titre de la satisfaction équitable pour les 133 jours de détention illégale (du 11 septembre 2003 au 21 janvier 2004) qu'il a subis.</w:t>
      </w:r>
    </w:p>
    <w:p>
      <w:r>
        <w:rPr>
          <w:b/>
        </w:rPr>
        <w:t>E. 48</w:t>
      </w:r>
    </w:p>
    <w:p>
      <w:r>
        <w:t>Pour ce qui est du préjudice matériel, le Gouvernement fait valoir que le requérant ne précise pas la nature du dommage matériel auquel correspondrait l'indemnité sollicitée et que l'intéressé n'a pas justifié le montant réclamé. Le Gouvernement conteste d'ailleurs le lien de causalité entre le montant réclamé et la violation alléguée.</w:t>
      </w:r>
    </w:p>
    <w:p>
      <w:r>
        <w:rPr>
          <w:b/>
        </w:rPr>
        <w:t>E. 49</w:t>
      </w:r>
    </w:p>
    <w:p>
      <w:r>
        <w:t>En ce qui concerne le préjudice moral, le Gouvernement note que le requérant n'avance aucune prétention à ce titre. Il estime que, conformément à la jurisprudence constante de la Cour, un simple constat de violation constituerait une satisfaction équitable suffisante.</w:t>
      </w:r>
    </w:p>
    <w:p>
      <w:r>
        <w:rPr>
          <w:b/>
        </w:rPr>
        <w:t>E. 50</w:t>
      </w:r>
    </w:p>
    <w:p>
      <w:r>
        <w:t>La Cour constate que le requérant n'a pas expliqué en quoi consistait le dommage matériel. En conséquence, elle n'aperçoit aucune raison d'octroyer au requérant une somme de ce chef. 51. En revanche, elle considère que le requérant a certainement subi un préjudice moral, qui ne serait pas suffisamment réparé par le constat de violation. Statuant en équité, elle alloue au requérant 3 500 EUR. B. Frais et dépens 52. Le requérant sollicite également 10 000 CHF (environ 6 064 EUR) pour les frais et dépens encourus devant les juridictions internes et la Cour. 53. A titre principal, le Gouvernement invite la Cour à rejeter la demande du requérant pour frais et dépens du fait que celui-ci n'a pas soumis ses prétentions de manière détaillée conformément à l'article 60 § 2 du Règlement de la Cour. 54. A titre subsidiaire, le Gouvernement estime qu'une somme de 1 000 CHF (environ 605 EUR) couvrirait l'ensemble des dépens pour la procédure engagée sur le plan national et à Strasbourg, compte tenu du fait que la caisse du Tribunal fédéral a versé à l'avocat du requérant une indemnité de 1 000 CHF à titre d'honoraires, que le requérant a bénéficié de l'assistance judiciaire devant le Tribunal fédéral et devant la Cour et eu égard au nombre de pages (trois) que comporte le mémoire rédigé par le représentant du requérant. S'agissant des frais, le Gouvernement relève que le Tribunal fédéral, seule instance nationale devant laquelle le requérant a invoqué une violation de la Convention, n'a pas perçu d'émoluments judiciaires. 55.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que la somme de 850 EUR perçue par le requérant au titre de l'assistance judiciaire couvre les frais et dépens encourus par lui. Elle rejette la demande pour le surplus. C. Intérêts moratoires 56.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