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EGMR 28601/11 vom 22. Dezember 2015</w:t>
      </w:r>
    </w:p>
    <w:p>
      <w:r>
        <w:t>Hudoc Ch, 2015-12-22, FR</w:t>
      </w:r>
    </w:p>
    <w:p>
      <w:r>
        <w:rPr>
          <w:b/>
        </w:rPr>
        <w:t xml:space="preserve">Quelle: </w:t>
      </w:r>
      <w:r>
        <w:t>https://mcp.opencaselaw.ch/entscheid/hudoc_ch_28601_11</w:t>
      </w:r>
    </w:p>
    <w:p>
      <w:r>
        <w:t>FR: CourEDH 28601/11 du 22 décembre 2015</w:t>
      </w:r>
    </w:p>
    <w:p>
      <w:r>
        <w:t>IT: CorteEDU 28601/11 del 22 dicembre 2015</w:t>
      </w:r>
    </w:p>
    <w:p>
      <w:pPr>
        <w:pStyle w:val="Heading2"/>
      </w:pPr>
      <w:r>
        <w:t>Regeste</w:t>
      </w:r>
    </w:p>
    <w:p>
      <w:r>
        <w:t>Non-violation de l'article 8 - Droit au respect de la vie privée et familiale (Article 8-1 - Respect de la vie privée);Non-violation de l'article 14+8-1 - Interdiction de la discrimination (Article 14 - Discrimination) (Article 8 - Droit au respect de la vie privée et familiale;Article 8-1 - Respect de la vie privée); No violation: 8;8-1;14;14+8-1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Cst., 14 CEDH, 2 paragraphe 2 du Pacte international du 16 décembre 1966 relatif aux droits économiques, sociaux et culturels (Pacte ONU I ; RS 0.103.1) ainsi que 2 paragraphe 1 et 26 Pacte ONU II. Comme exposé ci-avant, le Tribunal de céans ne peut pas vérifier la conformité de la Convention 10 avec la constitution fédérale et les lois fédérales. Celle-là prime en outre les accords internationaux antérieurs qui lui seraient contraires (cf. considérant 4.1.2 ci-avant). La Convention 10 doit dès lors être appliquée même si elle instaure un régime juridique différent pour les clients d’UBS SA par rapport à des clients d’autres banques (cf. arrêt du Tribunal administratif fédéral A-7156/2010 du 17 janvier 2011 considérant 5.2.1). (...). » 24.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