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EGMR 27510/08 vom 17. Dezember 2013</w:t>
      </w:r>
    </w:p>
    <w:p>
      <w:r>
        <w:t>Hudoc Ch, 2013-12-17, FR</w:t>
      </w:r>
    </w:p>
    <w:p>
      <w:r>
        <w:rPr>
          <w:b/>
        </w:rPr>
        <w:t xml:space="preserve">Quelle: </w:t>
      </w:r>
      <w:r>
        <w:t>https://mcp.opencaselaw.ch/entscheid/hudoc_ch_27510_08</w:t>
      </w:r>
    </w:p>
    <w:p>
      <w:r>
        <w:t>FR: CourEDH 27510/08 du 17 décembre 2013</w:t>
      </w:r>
    </w:p>
    <w:p>
      <w:r>
        <w:t>IT: CorteEDU 27510/08 del 17 dicembre 2013</w:t>
      </w:r>
    </w:p>
    <w:p>
      <w:pPr>
        <w:pStyle w:val="Heading2"/>
      </w:pPr>
      <w:r>
        <w:t>Regeste</w:t>
      </w:r>
    </w:p>
    <w:p>
      <w:r>
        <w:t>Remainder inadmissible;Violation of Article 10 - Freedom of expression -{General} (Article 10-1 - Freedom of expression);Pecuniary damage - claim dismissed;Non-pecuniary damage - finding of violation sufficient; Violation: 10;10-1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December 2013 THIS CASE WAS REFERRED TO THE GRAND CHAMBER WHICH DELIVERED JUDGMENT IN THE CASE ON 15/10/2015 This judgment may be subject to editorial revision. In the case of Perinçek v. Switzerland, The European Court of Human Rights (Second Section), sitting as a Chamber composed of: Guido Raimondi, President , Peer Lorenzen, Dragoljub Popović, András Sajó, Nebojša Vučinić, Paulo Pinto de Albuquerque, Helen Keller, judges , and Stanley Naismith, Section Registrar , Having deliberated in private on 12 November 2013, Delivers the following judgment, which was adopted on that date: PROCEDURE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