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22493/06 vom 10. Juni 2010</w:t>
      </w:r>
    </w:p>
    <w:p>
      <w:r>
        <w:t>Hudoc Ch, 2010-06-10, FR</w:t>
      </w:r>
    </w:p>
    <w:p>
      <w:r>
        <w:rPr>
          <w:b/>
        </w:rPr>
        <w:t xml:space="preserve">Quelle: </w:t>
      </w:r>
      <w:r>
        <w:t>https://mcp.opencaselaw.ch/entscheid/hudoc_ch_22493_06</w:t>
      </w:r>
    </w:p>
    <w:p>
      <w:r>
        <w:t>FR: CourEDH 22493/06 du 10 juin 2010</w:t>
      </w:r>
    </w:p>
    <w:p>
      <w:r>
        <w:t>IT: CorteEDU 22493/06 del 10 giugno 2010</w:t>
      </w:r>
    </w:p>
    <w:p>
      <w:pPr>
        <w:pStyle w:val="Heading2"/>
      </w:pPr>
      <w:r>
        <w:t>Regeste</w:t>
      </w:r>
    </w:p>
    <w:p>
      <w:r>
        <w:t>Partiellement irrecevable;Violation de l'art. 5-1; Violation: 5;5-1</w:t>
      </w:r>
    </w:p>
    <w:p>
      <w:pPr>
        <w:pStyle w:val="Heading2"/>
      </w:pPr>
      <w:r>
        <w:t>Erwägungen</w:t>
      </w:r>
    </w:p>
    <w:p>
      <w:r>
        <w:rPr>
          <w:b/>
        </w:rPr>
        <w:t>E. 26</w:t>
      </w:r>
    </w:p>
    <w:p>
      <w:r>
        <w:t>Le requérant allègue que la détention qu'il a subie à l'issue de l'exécution de sa peine, c'est-à-dire après le 6 janvier 2006, ne reposait pas sur une base légale, comme l'exige l'article 5 § 1 de la Convention. Cette disposition est ainsi libellée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 »</w:t>
      </w:r>
    </w:p>
    <w:p>
      <w:r>
        <w:rPr>
          <w:b/>
        </w:rPr>
        <w:t>E. 27</w:t>
      </w:r>
    </w:p>
    <w:p>
      <w:r>
        <w:t>Le Gouvernement combat cette thèse, estimant que ce grief est manifestement mal fondé pour les raisons exposées ci-après (paragraphes 32-37). A. Sur la recevabilité</w:t>
      </w:r>
    </w:p>
    <w:p>
      <w:r>
        <w:rPr>
          <w:b/>
        </w:rPr>
        <w:t>E. 28</w:t>
      </w:r>
    </w:p>
    <w:p>
      <w:r>
        <w:t>La Cour constate que le grief tiré de l'article 5 § 1 n'est pas manifestement mal fondé au sens de l'article 35 § 3 de la Convention. Elle relève par ailleurs qu'il ne se heurte à aucun autre motif d'irrecevabilité. Il convient donc de le déclarer recevable. B. Sur le fond 1. Thèses des parties a) Le requérant</w:t>
      </w:r>
    </w:p>
    <w:p>
      <w:r>
        <w:rPr>
          <w:b/>
        </w:rPr>
        <w:t>E. 29</w:t>
      </w:r>
    </w:p>
    <w:p>
      <w:r>
        <w:t>Le requérant soutient que l'article 198 du code de procédure pénale du canton de Bâle-Ville a été conçu comme pouvant servir de base légale non pas à une détention postérieure à l'accomplissement de la peine ( Nachhaft ), mais à une détention postérieure à une condamnation pénale qui n'est pas encore devenue définitive en raison par exemple d'un appel interjeté par le détenu.</w:t>
      </w:r>
    </w:p>
    <w:p>
      <w:r>
        <w:rPr>
          <w:b/>
        </w:rPr>
        <w:t>E. 30</w:t>
      </w:r>
    </w:p>
    <w:p>
      <w:r>
        <w:t>Par ailleurs, il soutient qu'il n'existe plus, dans le code de procédure pénale de ce canton, de détention pour motif de sûreté ( Sicherheitshaft ).</w:t>
      </w:r>
    </w:p>
    <w:p>
      <w:r>
        <w:rPr>
          <w:b/>
        </w:rPr>
        <w:t>E. 31</w:t>
      </w:r>
    </w:p>
    <w:p>
      <w:r>
        <w:t>Partant, il allègue que la détention qu'il a subie après le 6 janvier 2006 est illégale et contraire à l'article 5 § 1 de la Convention. b) Le Gouvernement</w:t>
      </w:r>
    </w:p>
    <w:p>
      <w:r>
        <w:rPr>
          <w:b/>
        </w:rPr>
        <w:t>E. 32</w:t>
      </w:r>
    </w:p>
    <w:p>
      <w:r>
        <w:t>Le Gouvernement rappelle que, dans l'affaire Laumont c. France (n o 43626/98, §§ 43-45, CEDH 2001 ‑ XI), la Cour a conclu à la non-violation de l'article 5 § 1 en dépit de l'absence de base légale spécifique justifiant la détention de l'intéressé, au motif que la détention en cause était fondée sur une jurisprudence « ancienne et constante » de la Cour de cassation française. Il rappelle que, dans l'affaire Weber c. Suisse (n o 3688/04, § 40, 26 juillet 2007), en revanche, la Cour a conclu à la violation de cette disposition au motif qu'« il n'existait en Suisse à l'époque des faits qu'un seul arrêt du Tribunal fédéral traitant du problème de la base légale de la détention dans une procédure postérieure au jugement. »</w:t>
      </w:r>
    </w:p>
    <w:p>
      <w:r>
        <w:rPr>
          <w:b/>
        </w:rPr>
        <w:t>E. 33</w:t>
      </w:r>
    </w:p>
    <w:p>
      <w:r>
        <w:t>Le Gouvernement rappelle en outre que les articles 69 et suivants du nouveau code de procédure pénale du canton de Bâle-Ville se réfèrent à la « détention provisoire » ( Untersuchungshaft ), alors que l'ancien code mentionnait la « détention pour motif de sûreté ». Par ailleurs, il soutient que ni l'ancien code ni le nouveau ne distinguent, dans leur terminologie, entre les deux types de détention. Il ajoute que, de toute façon, la terminologie utilisée n'est pas déterminante et qu'elle ne signifie pas que la détention pour motif de sûreté ne soit pas autorisée par le nouveau code. Le Tribunal fédéral aurait donc examiné, à juste titre et indépendamment de la terminologie utilisée, si la détention litigieuse pouvait se fonder sur le code de procédure pénale.</w:t>
      </w:r>
    </w:p>
    <w:p>
      <w:r>
        <w:rPr>
          <w:b/>
        </w:rPr>
        <w:t>E. 34</w:t>
      </w:r>
    </w:p>
    <w:p>
      <w:r>
        <w:t>Par ailleurs, le Gouvernement rappelle que, dans ses arrêts du 15 décembre 2005 et du 24 janvier 2006, le Tribunal fédéral a invoqué, à l'appui de ses conclusions, son arrêt de principe en la matière, soit l'ATF 128 I 184, et les références y figurant. Il estime que cette jurisprudence, publiée dans le Recueil officiel des arrêts du Tribunal fédéral, était de ce fait connue du conseil du requérant. Elle aurait été confirmée dans les arrêts 1P.646/2003 du 22 décembre 2003 concernant le canton de Vaud (qui faisait l'objet de l'affaire Weber ) et 1P.359/2005 du 4 juillet 2005 concernant le canton de Berne. En outre, dans l'arrêt 1P.745/1992 du 1 er février 1993 (cité dans l'ATF 128 I 184) concernant le canton de Zurich, le Tribunal fédéral aurait déjà admis l'existence d'une base légale suffisante dans une constellation d'éléments semblable au cas d'espèce (paragraphe 22 et suivants ci-dessus).</w:t>
      </w:r>
    </w:p>
    <w:p>
      <w:r>
        <w:rPr>
          <w:b/>
        </w:rPr>
        <w:t>E. 35</w:t>
      </w:r>
    </w:p>
    <w:p>
      <w:r>
        <w:t>Le Gouvernement précise que ces arrêts sont antérieurs à la détention litigieuse et qu'ils sont accessibles via Internet. Ils devraient donc, selon lui, être connus du requérant, qui est représenté par un avocat. La présente affaire se distinguerait en cela de l'affaire Weber (précitée, en particulier §§ 40 et suivants) et serait comparable à l'affaire Laumont (précitée, § 51).</w:t>
      </w:r>
    </w:p>
    <w:p>
      <w:r>
        <w:rPr>
          <w:b/>
        </w:rPr>
        <w:t>E. 36</w:t>
      </w:r>
    </w:p>
    <w:p>
      <w:r>
        <w:t>Enfin, selon le Gouvernement, le fait que les arrêts du Tribunal fédéral précités ne concernent pas le même canton que celui du requérant ( Weber , précité, § 41) n'est pas déterminant. En effet, nonobstant l'existence de différents codes de procédure cantonaux traitant de la question litigieuse dans des dispositions différentes, le problème resterait identique du point de vue matériel, de sorte que la jurisprudence du Tribunal fédéral en la matière serait applicable à tous les cantons.</w:t>
      </w:r>
    </w:p>
    <w:p>
      <w:r>
        <w:rPr>
          <w:b/>
        </w:rPr>
        <w:t>E. 37</w:t>
      </w:r>
    </w:p>
    <w:p>
      <w:r>
        <w:t>Compte tenu de ce qui précède, le Gouvernement conclut que la détention du requérant prononcée par la cour d'appel le 3 janvier 2006 répondait aux exigences du droit national et de l'article 5 § 1 de la Convention. 2. Appréciation de la Cour a) Principes applicables</w:t>
      </w:r>
    </w:p>
    <w:p>
      <w:r>
        <w:rPr>
          <w:b/>
        </w:rPr>
        <w:t>E. 38</w:t>
      </w:r>
    </w:p>
    <w:p>
      <w:r>
        <w:t>La Cour rappelle d'abord que les termes « régulièrement » et « selon les voies légales », qui figurent à l'article 5 § 1 de la Convention, renvoient pour l'essentiel à la législation nationale et qu'ils consacrent l'obligation d'en observer les normes de fond comme de procédure.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législatives ou jurisprudence – a été respecté ( Baranowski c. Pologne , n o 28358/95, §§ 50 et 54, CEDH 2000-III, et Minjat c. Suisse , n o 38223/97, § 39, 28 octobre 2003).</w:t>
      </w:r>
    </w:p>
    <w:p>
      <w:r>
        <w:rPr>
          <w:b/>
        </w:rPr>
        <w:t>E. 39</w:t>
      </w:r>
    </w:p>
    <w:p>
      <w:r>
        <w:t>La Cour réaffirme ensuite qu'il est essentiel, en matière de privation de liberté, que le droit interne définisse clairement les conditions de détention et que la loi soit prévisible dans son application. Elle doit donc être suffisamment accessible et précise pour permettre au citoyen de prévoir, avec un degré raisonnable dans les circonstances de la cause, les conséquences de nature à dériver d'un acte déterminé ( Minjat , précité, § 40, Amuur c. France , 25 juin 1996, § 50, Recueil des arrêts et décisions 1996-III, Erkalo c. Pays-Bas , 2 septembre 1998, § 52, Recueil 1998-VI, et Baranowski , précité, § 51).</w:t>
      </w:r>
    </w:p>
    <w:p>
      <w:r>
        <w:rPr>
          <w:b/>
        </w:rPr>
        <w:t>E. 40</w:t>
      </w:r>
    </w:p>
    <w:p>
      <w:r>
        <w:t>Enfin, la Cour rappelle que la liste des exceptions au droit à la liberté figurant à l'article 5 § 1 revêt un caractère exhaustif et que seule une interprétation étroite cadre avec le but de cette disposition, qui est d'assurer que nul ne soit arbitrairement privé de sa liberté (voir, parmi beaucoup d'autres, K. ‑ F. c. Allemagne , 27 novembre 1997, § 70, Recueil 1997 ‑ VII, Čonka c. Belgique , n o 51564/99, § 42, CEDH 2002-I, et D.G. c. Irlande , n o 39474/98, § 74, CEDH 2002-III). b) Application des principes susmentionnés à la présente espèce</w:t>
      </w:r>
    </w:p>
    <w:p>
      <w:r>
        <w:rPr>
          <w:b/>
        </w:rPr>
        <w:t>E. 41</w:t>
      </w:r>
    </w:p>
    <w:p>
      <w:r>
        <w:t>Quant aux circonstances de la cause, la Cour note d'emblée que le requérant dénonce uniquement une absence de base légale propre à justifier sa détention. Il n'allègue pas que sa privation de liberté n'était pas nécessaire ou qu'elle n'était pas justifiée par l'un des motifs prévus à l'article 5 § 1 de la Convention. La question à trancher est donc celle de savoir si le requérant a été privé de sa liberté « selon les voies légales » au sens de l'article 5 § 1 de la Convention.</w:t>
      </w:r>
    </w:p>
    <w:p>
      <w:r>
        <w:rPr>
          <w:b/>
        </w:rPr>
        <w:t>E. 42</w:t>
      </w:r>
    </w:p>
    <w:p>
      <w:r>
        <w:t>La Cour observe ensuite que l'ouverture de la procédure d'internement par les autorités du canton de Bâle-Ville était postérieure au jugement de condamnation du requérant du 16 avril 1997 et que l'exécution de cette décision d'internement devait avoir lieu après l'accomplissement de la peine à laquelle l'intéressé avait été condamné. Elle note également que la décision en cause relevait de l'ancien article 43 du code pénal suisse ainsi que des dispositions applicables du code de procédure pénale du canton de Bâle-Ville (paragraphes 19-21 ci-dessus).</w:t>
      </w:r>
    </w:p>
    <w:p>
      <w:r>
        <w:rPr>
          <w:b/>
        </w:rPr>
        <w:t>E. 43</w:t>
      </w:r>
    </w:p>
    <w:p>
      <w:r>
        <w:t>Aucune décision définitive n'étant intervenue à propos de cet internement, une mesure provisoire a été ordonnée le 3 janvier 2006, devant prendre effet à l'expiration de la peine infligée. Faute de dispositions spécifiques régissant un éventuel maintien en détention à l'expiration d'une peine privative de liberté ( Haft im Nachverfahren ), les instances internes ont fondé la détention du requérant sur l'article 198 du code cantonal de procédure pénale, qui concerne la détention d'une personne ayant été condamnée en première instance mais dont le jugement n'est pas devenu définitif. Par ailleurs, les tribunaux internes ont appliqué cet article en combinaison avec les articles 69 et suivants du même code, qui sont réservés à la détention provisoire.</w:t>
      </w:r>
    </w:p>
    <w:p>
      <w:r>
        <w:rPr>
          <w:b/>
        </w:rPr>
        <w:t>E. 44</w:t>
      </w:r>
    </w:p>
    <w:p>
      <w:r>
        <w:t>La Cour est donc amenée à analyser si ces dispositions, appliquées à la présente espèce, remplissaient les exigences posées par l'article 5 § 1 de la Convention et par les principes élaborés par la jurisprudence de la Cour. Elle doit plus particulièrement examiner la question de savoir si la base légale autorisant la détention était en l'espèce suffisamment accessible et précise afin d'éviter tout danger d'arbitraire ( Amuur , précité, § 50, et Mohd c. Grèce , n o 11919/03, §§ 21 et 24, 27 avril 2006).</w:t>
      </w:r>
    </w:p>
    <w:p>
      <w:r>
        <w:rPr>
          <w:b/>
        </w:rPr>
        <w:t>E. 45</w:t>
      </w:r>
    </w:p>
    <w:p>
      <w:r>
        <w:t>La Cour observe d'emblée que la détention litigieuse n'avait pas de base spécifique en droit interne, aucune disposition n'étant consacrée explicitement au type de détention subie par le requérant.</w:t>
      </w:r>
    </w:p>
    <w:p>
      <w:r>
        <w:rPr>
          <w:b/>
        </w:rPr>
        <w:t>E. 46</w:t>
      </w:r>
    </w:p>
    <w:p>
      <w:r>
        <w:t>Elle note que le Gouvernement invoque la jurisprudence du Tribunal fédéral en arguant qu'elle devait être connue du requérant, qui était représenté par un avocat. Elle observe que, dans plusieurs arrêts, le Tribunal fédéral a effectivement affirmé que les dispositions sur la détention provisoire pouvaient servir de base légale à une détention postérieure au jugement (paragraphes 22-25 ci-dessus). Elle constate en revanche que les quatre précédents invoqués par le Gouvernement (paragraphe 34 ci-dessus) concernaient des cantons différents, avec des codes de procédure pénale différents. Aussi, elle estime que les situations et décisions qui se trouvaient à l'origine des détentions des intéressés sont sans doute analogues ou comparables à celle de la présente affaire, mais qu'elles ne sont en aucun cas identiques à celle-ci. Elle rappelle en outre que, dans l'arrêt Weber précité, elle a déclaré incompatible avec la Convention la pratique consistant à prolonger la détention d'un individu sur la base d'une disposition prévue pour un autre type de détention. Partant, la Cour ne saurait admettre que ces précédents aient pu valablement servir de base légale à la détention du requérant.</w:t>
      </w:r>
    </w:p>
    <w:p>
      <w:r>
        <w:rPr>
          <w:b/>
        </w:rPr>
        <w:t>E. 47</w:t>
      </w:r>
    </w:p>
    <w:p>
      <w:r>
        <w:t>La Cour ne partage pas non plus l'avis du Gouvernement selon lequel la terminologie utilisée par les autorités pour justifier la détention du requérant n'était pas déterminante en soi. A cet égard, elle rappelle que la pratique consistant à détenir une personne en l'absence d'une base légale spécifique est incompatible avec les principes de la sécurité juridique et de la protection contre l'arbitraire, qui constituent des éléments fondamentaux à la fois de la Convention et d'un Etat de droit ( Baranowski , précité, §§ 54 ‑ 56, et Ječius c. Lituanie , n o 34578/97, § 62, CEDH 2000 ‑ IX). Eu égard à la gravité de l'ingérence dans la liberté personnelle du requérant et à la nécessité d'une interprétation stricte des exigences à une détention, l'application faite en l'espèce d'une disposition légale par analogie ou par renvoi ne saurait être tolérée.</w:t>
      </w:r>
    </w:p>
    <w:p>
      <w:r>
        <w:rPr>
          <w:b/>
        </w:rPr>
        <w:t>E. 48</w:t>
      </w:r>
    </w:p>
    <w:p>
      <w:r>
        <w:t>Compte tenu de ce qui précède, la Cour estime que la législation cantonale ne satisfaisait pas au critère de « prévisibilité » d'une « loi » aux fins de l'article 5 § 1. Elle conclut dès lors que la détention subie par l'intéressé à l'issue de l'accomplissement de sa peine privative de liberté n'était pas conforme à l'article 5 § 1 de la Convention.</w:t>
      </w:r>
    </w:p>
    <w:p>
      <w:r>
        <w:rPr>
          <w:b/>
        </w:rPr>
        <w:t>E. 49</w:t>
      </w:r>
    </w:p>
    <w:p>
      <w:r>
        <w:t>Partant, il y a eu violation de cette disposition. II. SUR LA VIOLATION ALLÉGUÉE DE L'ARTICLE 7 DE LA CONVENTION Sur la recevabilité</w:t>
      </w:r>
    </w:p>
    <w:p>
      <w:r>
        <w:rPr>
          <w:b/>
        </w:rPr>
        <w:t>E. 50</w:t>
      </w:r>
    </w:p>
    <w:p>
      <w:r>
        <w:t>Le requérant se plaint également d'une violation de l'article 7 de la Convention essentiellement pour les mêmes raisons que celles avancées sur le terrain de l'article 5 § 1. 51. La Cour estime que ce grief n'a pas été soulevé au niveau interne, pas même en substance, et qu'il ne pose par ailleurs pas de question suffisamment distincte de celle examinée par la Cour sous l'angle de l'article 5 § 1. 52. Il s'ensuit que le grief est manifestement mal fondé et qu'il doit être rejeté, en application de l'article 35 §§ 3 et 4 de la Convention. III. SUR L'APPLICATION DE L'ARTICLE 41 DE LA CONVENTION 53.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54. La Cour observe que le requérant n'a pas formulé de demande de remboursement ni de reconnaissance d'un dommage, matériel ou moral. Partant, elle estime qu'aucun montant n'est dû à ce titre. B. Frais et dépens 55. Dans ses observations du 6 novembre 2008, le requérant soutient que « la Confédération suisse doit défrayer les coûts exposés » dans le cadre de la présente procédure. 56. Le Gouvernement estime que le requérant n'a ni chiffré ni ventilé ses prétentions et qu'il n'a, en outre, produit aucun justificatif à l'appui de sa demande. Selon lui, l'intéressé n'a, par conséquent, manifestement pas respecté les exigences de l'article 60 du règlement de la Cour et ses prétentions doivent être rejetées. 57. A titre subsidiaire, le Gouvernement observe que le requérant a bénéficié de l'assistance judiciaire gratuite devant le Tribunal fédéral. Il estime que la somme globale de 1 000 francs suisses couvrirait les dépens pour la procédure engagée à Strasbourg. 58.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des justificatifs nécessaires. Il convient donc d'écarter sa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