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ZK2 2014 26 vom 14. Oktober 2014</w:t>
      </w:r>
    </w:p>
    <w:p>
      <w:r>
        <w:t>GR Gerichte, 2014-10-14, DE</w:t>
      </w:r>
    </w:p>
    <w:p>
      <w:r>
        <w:rPr>
          <w:b/>
        </w:rPr>
        <w:t xml:space="preserve">Quelle: </w:t>
      </w:r>
      <w:r>
        <w:t>https://mcp.opencaselaw.ch/entscheid/gr_gerichte_ZK2_2014_26</w:t>
      </w:r>
    </w:p>
    <w:p>
      <w:r>
        <w:t>FR: GR_GERICHTE ZK2 2014 26 du 14 octobre 2014</w:t>
      </w:r>
    </w:p>
    <w:p>
      <w:r>
        <w:t>IT: GR_GERICHTE ZK2 2014 26 del 14 ottobre 2014</w:t>
      </w:r>
    </w:p>
    <w:p>
      <w:pPr>
        <w:pStyle w:val="Heading2"/>
      </w:pPr>
      <w:r>
        <w:t>Regeste</w:t>
      </w:r>
    </w:p>
    <w:p>
      <w:r>
        <w:t>Festsetzung der Entschädigung (Widerruf der unentgeltlichen Rechtspflege) | OR 363-393 Werkvertrag/Verlagsvertrag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(Rechtsmittelbelehrung)</w:t>
      </w:r>
    </w:p>
    <w:p>
      <w:r>
        <w:rPr>
          <w:b/>
        </w:rPr>
        <w:t>E. 4</w:t>
      </w:r>
    </w:p>
    <w:p>
      <w:r>
        <w:t>Vor dem Hintergrund der vorstehenden rechtlichen Ausführungen ist die Beschwerde gutzuheissen, entsprechend wird der angefochtene Entscheid vom 19. März 2014 aufgehoben. Bei dieser Ausgangslage wird das Bezirksgericht Prät- tigau/Davos angewiesen, die Honorarrechnung von Rechtsanwalt X._____ zu prü- fen und deren Begleichung der Gemeinde Y._____ unter Vorbehalt des Rückfor- derungsrechts aufzuerlegen.</w:t>
      </w:r>
    </w:p>
    <w:p>
      <w:r>
        <w:rPr>
          <w:b/>
        </w:rPr>
        <w:t>E. 5</w:t>
      </w:r>
    </w:p>
    <w:p>
      <w:r>
        <w:t>Nach Art. 10 Abs. 1 der Verordnung über die Gebühr in Zivilverfahren (VGZ; BR 320.210) beträgt die Entscheidgebühr in Verfahren der zivilrechtlichen Beschwerde zwischen CHF 500.– und CHF 8'000.–. Die Kosten des Beschwerde- verfahrens werden vorliegend auf CHF 1'500.– festgesetzt. Die Kostenverteilung richtet sich nach den allgemeinen Regeln der Schweizerischen Zivilprozessord- nung (Art. 60 Abs. 2 EGzZGB in Verbindung mit Art. 104 ff. ZPO). Da Rechtsan- walt X._____ mit seinen Anträgen vollumfänglich durchgedrungen ist, rechtfertigt es sich, die Kosten des vorliegenden Beschwerdeverfahrens von CHF 1'500.– der Beschwerdegegnerin als unterliegende Partei zu überbinden (Art. 106 Abs. 1 ZPO). Diese hat überdies den obsiegenden Rechtsanwalt X._____ zu entschädi- gen. Da es sich hier nicht um eine komplizierte Angelegenheit mit hohem Arbeits- aufwand handelt, ist ihm keine volle Parteientschädigung im Sinne von Art. 95 Abs. 3 lit. b ZPO zuzusprechen (vgl. BGE 110 V 132 E. 4d S. 135). Der in eigener Sache auftretende Rechtsanwalt X._____ erhält eine Umtriebsentschädigung (Art. 95 Abs. 3 lit. c ZPO), welche zunächst nach Anwaltstarif berechnet werden kann, anschliessend aber angemessen zu reduzieren ist (vgl. Suter/von Holzen, in: Sut- ter-Somm/Hasenböhler/Leuenberger, Kommentar zur Schweizerischen Zivilpro- zessordnung (ZPO), 2. Aufl., Zürich 2013, N 42 zu Art. 95 ZPO mit Hinweis auf andere Autoren). Ausgehend von einem durchschnittlichen Stundenansatz von CHF 240.– (Art. 3 der Verordnung über die Bemessung des Honorars der Rechts- anwältinnen und Rechtsanwälte [Honorarverordnung; HV; BR 310.250]) und ent- sprechender Reduktion erscheint in Berücksichtigung der mutmasslichen notwen- digen Bemühungen eine Umtriebsentschädigung von CHF 1'200.– angezeigt, all- fällige Spesen und die Mehrwertsteuer eingeschlossen.</w:t>
      </w:r>
    </w:p>
    <w:p>
      <w:r>
        <w:t>Seite 10 — 10 III.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