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ZK2 2010 49 vom 6. Oktober 2010</w:t>
      </w:r>
    </w:p>
    <w:p>
      <w:r>
        <w:t>GR Gerichte, 2010-10-06, IT</w:t>
      </w:r>
    </w:p>
    <w:p>
      <w:r>
        <w:rPr>
          <w:b/>
        </w:rPr>
        <w:t xml:space="preserve">Quelle: </w:t>
      </w:r>
      <w:r>
        <w:t>https://mcp.opencaselaw.ch/entscheid/gr_gerichte_ZK2_2010_49</w:t>
      </w:r>
    </w:p>
    <w:p>
      <w:r>
        <w:t>FR: GR_GERICHTE ZK2 2010 49 du 6 octobre 2010</w:t>
      </w:r>
    </w:p>
    <w:p>
      <w:r>
        <w:t>IT: GR_GERICHTE ZK2 2010 49 del 6 ottobre 2010</w:t>
      </w:r>
    </w:p>
    <w:p>
      <w:pPr>
        <w:pStyle w:val="Heading2"/>
      </w:pPr>
      <w:r>
        <w:t>Regeste</w:t>
      </w:r>
    </w:p>
    <w:p>
      <w:r>
        <w:t>credito (tempestività della richiesta di notificazione di una sentenza motivata) | Beschwerde Prozessrecht ZPO/GR 232/1-8 und Prozessbeschwerde ZPO/GR 237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segg., 72 segg. e 90 segg. LTF. 4. Comunicazione 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