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2017 23 vom 23. Februar 2017</w:t>
      </w:r>
    </w:p>
    <w:p>
      <w:r>
        <w:t>GR Gerichte, 2017-02-23, DE</w:t>
      </w:r>
    </w:p>
    <w:p>
      <w:r>
        <w:rPr>
          <w:b/>
        </w:rPr>
        <w:t xml:space="preserve">Quelle: </w:t>
      </w:r>
      <w:r>
        <w:t>https://mcp.opencaselaw.ch/entscheid/gr_gerichte_ZK1_2017_23</w:t>
      </w:r>
    </w:p>
    <w:p>
      <w:r>
        <w:t>FR: GR_GERICHTE ZK1 2017 23 du 23 février 2017</w:t>
      </w:r>
    </w:p>
    <w:p>
      <w:r>
        <w:t>IT: GR_GERICHTE ZK1 2017 23 del 23 febbraio 2017</w:t>
      </w:r>
    </w:p>
    <w:p>
      <w:pPr>
        <w:pStyle w:val="Heading2"/>
      </w:pPr>
      <w:r>
        <w:t>Regeste</w:t>
      </w:r>
    </w:p>
    <w:p>
      <w:r>
        <w:t>fürsorgerische Unterbringung | KES Fürsorgerische Unterbringung</w:t>
      </w:r>
    </w:p>
    <w:p>
      <w:pPr>
        <w:pStyle w:val="Heading2"/>
      </w:pPr>
      <w:r>
        <w:t>Erwägungen</w:t>
      </w:r>
    </w:p>
    <w:p>
      <w:r>
        <w:rPr>
          <w:b/>
        </w:rPr>
        <w:t>E. 1</w:t>
      </w:r>
    </w:p>
    <w:p>
      <w:r>
        <w:t>a) Vorliegend handelt es sich um ein Verfahren, welchem eine fürsorgerische Unterbringung nach Art. 426 ff. ZGB zugrunde liegt. Da das Kantonsgericht in sol- chen Angelegenheiten die einzige kantonale Beschwerdeinstanz ist (vgl. Art. 439 Abs. 1 Ziff. 1 und 4 ZGB in Verbindung mit Art. 60 Abs. 1 des Einführungsgeset- zes zum Zivilgesetzbuch [EGzZGB; BR 210.100]), hat der Beschwerdeführer sei- ne Beschwerde an das hierfür zuständige Gericht eingereicht. b) Gegen die am 10. Februar 2017 gestützt auf Art. 429 Abs. 1 ZGB ärztlich angeordnete fürsorgerische Unterbringung kann die betroffene oder eine ihr nahe- stehende Person innert zehn Tagen schriftlich beim zuständigen Gericht Be- schwerde erheben (vgl. Art. 439 Abs. 1 und 2 ZGB). Eine Begründung ist gemäss Art. 439 Abs. 3 ZGB, welcher die Bestimmungen über das Verfahren vor der ge- richtlichen Beschwerdeinstanz und damit auch Art. 450e Abs. 1 ZGB für sinn- gemäss anwendbar erklärt, nicht notwendig. Vorliegend wurde die Beschwerde- frist mit der ohne Begründung eingereichten Eingabe vom 11. Februar 2017, Post- stempel vom 13. Februar 2017, gewahrt (vgl. act. 01). Als von der fürsorgerischen Unterbringung direkt Betroffener ist der Beschwerdeführer zur Beschwerdeerhe- bung ohne weiteres legitimiert. Da keine Begründungspflicht besteht, ist auf die frist- und formgerecht eingereichte Beschwerde einzutreten.</w:t>
      </w:r>
    </w:p>
    <w:p>
      <w:r>
        <w:rPr>
          <w:b/>
        </w:rPr>
        <w:t>E. 2</w:t>
      </w:r>
    </w:p>
    <w:p>
      <w:r>
        <w:t>a) Art. 439 Abs. 3 ZGB sieht für die gerichtliche Überprüfung einer ärztlich an- geordneten fürsorgerischen Unterbringung eine sinngemässe Anwendung der Be- stimmungen über das Verfahren vor der gerichtlichen Beschwerdeinstanz vor (vgl. Art. 450a ff. ZGB). Von besonderer Bedeutung ist dabei Art. 450e ZGB, der an sich das Verfahren für die gerichtliche Beurteilung eines durch die Kindes- und Erwachsenenschutzbehörde gefällten Unterbringungsentscheids behandelt (vgl. dazu sogleich die nachfolgenden Erwägungen). Vom Verweis nicht erfasst wird dagegen Art. 450 ZGB, weil die Vorinstanzen, die Legitimation und die Form der Beschwerde in Art. 439 ZGB selbständig und abschliessend geregelt wird (vgl. dazu Thomas Geiser/Mario Etzensberger, in: Geiser/Reusser [Hrsg.], Basler Kommentar, Erwachsenenschutz, Basel 2012, N. 38 zu Art. 439 ZGB [zit. Basler Kommentar zum Erwachsenenschutz]). Zu beachten sind sodann die allgemeinen</w:t>
      </w:r>
    </w:p>
    <w:p>
      <w:r>
        <w:t>Seite 5 — 13 Verfahrensgrundsätze des erstinstanzlichen Verfahrens (vgl. Art. 443 ff. ZGB), die auch im Verfahren vor der gerichtlichen Beschwerdeinstanz anwendbar sind, so- weit das Gesetz in den Art. 450 ff. ZGB keine abweichenden Vorschriften enthält (vgl. Daniel Steck, in: Basler Kommentar zum Erwachsenenschutz, a.a.O., N. 13 zu Art. 450 ZGB). Dies gilt namentlich für die in Art. 446 ZGB verankerte uneinge- schränkte Untersuchungs- und Offizialmaxime und das an gleicher Stelle festge- schriebene Prinzip der Rechtsanwendung von Amtes wegen. Der Anwendungsbe- reich dieser zentralen Verfahrensgrundsätze bezieht sich auf sämtliche Verfahren vor der Kindes- und Erwachsenenschutzbehörde und erstreckt sich – wenn auch teilweise in abgeschwächter Form – nach dem Grundsatz der Einheit des Prozes- ses auch auf die Verfahren vor der gerichtlichen Beschwerdeinstanz (vgl. Chri- stoph Auer/Michèle Marti, in: Basler Kommentar zum Erwachsenenschutz, a.a.O., N. 1 zu Art. 446 ZGB mit weiteren Hinweisen). Zu erwähnen ist ferner der eben- falls für alle Instanzen geltende Art. 450f ZGB, welcher die Bestimmungen der Schweizerischen Zivilprozessordnung als subsidiär anwendbar erklärt, soweit die Kantone nichts anderes bestimmen. Von letzterer Möglichkeit wurde im Kanton Graubünden kein Gebrauch gemacht. Vielmehr verweist Art. 60 Abs. 2 EGzZGB ebenfalls auf die Zivilprozessordnung als subsidiär anwendbares Recht sowie auf die entsprechende kantonale Einführungsgesetzgebung (Einführungsgesetz zur Schweizerischen Zivilprozessordnung [EGzZPO; BR 320.100]). In Art. 60 Abs. 3 EGzZGB wird des Weiteren klargestellt, dass die Bestimmungen der ZPO über den Fristenstillstand sowie über neue Tatsachen und Beweismittel keine Anwen- dung finden. Dass im Verfahren der gerichtlichen Beurteilung von fürsorgerischen Unterbringungen Noven unbeschränkt zuzulassen sind und das Gericht seinem Entscheid den Sachverhalt zugrunde zu legen hat, wie er sich im Zeitpunkt der Urteilsfällung präsentiert, ergibt sich im Übrigen auch aus dem Grundsatz der Pro- zessökonomie (vgl. Thomas Geiser/Mario Etzensberger, in: Basler Kommentar zum Erwachsenenschutz, a.a.O., N. 40 zu Art. 439 ZGB). Aus Art. 450a ZGB wie auch aus Art. 5 Ziff. 4 der Konvention zum Schutze der Menschenrechte und Grundfreiheiten (EMRK; SR 0.101) ergibt sich schliesslich, dass das Gericht so- wohl die Tat- als auch die Rechtsfragen wie auch die Angemessenheit frei über- prüft und ihm von Bundesrechts wegen volle Kognition zukommt. Weil die Vor- instanz jeweils keine Behörde, sondern entweder ein Arzt oder eine Einrichtung ist, hat das Gericht die Sache endgültig zu entscheiden und diese nicht an die Vor- instanz zu neuer Entscheidung zurückzuweisen. Das Rechtsmittel ist mithin refor- matorisch. Das Urteil lautet entweder auf Aufhebung oder Aufrechterhaltung der Massnahme, wobei das Gericht die Massnahme aber auch abändern kann, indem es die betroffene Person beispielsweise in eine andere Einrichtung einweist. Allen-</w:t>
      </w:r>
    </w:p>
    <w:p>
      <w:r>
        <w:t>Seite 6 — 13 falls kann sich auch eine Überweisung an die zuständige Kindes- und Erwachse- nenschutzbehörde für weitere Abklärungen und die Anordnung zusätzlicher Mass- nahmen als notwendig erweisen. Zur Sicherstellung der gebotenen Fürsorge kann in einem solchen Fall die Entlassung auch aufgeschoben werden, bis die zustän- dige Behörde die für ein Leben ausserhalb der Einrichtung notwendigen Anord- nungen getroffen hat (vgl. Thomas Geiser/Mario Etzensberger, in: Basler Kom- mentar zum Erwachsenenschutz, a.a.O., N. 39 und 41 zu Art. 439 ZGB). b) Gemäss Art. 450e Abs. 3 ZGB, welcher aufgrund von Art. 439 Abs. 3 ZGB sinngemäss anwendbar ist, muss bei psychischen Störungen für den Entscheid über eine ärztlich angeordnete fürsorgerische Unterbringung zwingend ein Gut- achten eingeholt werden. Dieses muss von einem unabhängigen, im laufenden Verfahren noch nicht involvierten Sachverständigen erstellt werden und in dem Sinne aktuell sein, dass es sich zu den sich im gerichtlichen Verfahren stellenden Fragen äussern muss (vgl. Thomas Geiser/Mario Etzensberger, in: Basler Kom- mentar zum Erwachsenenschutz, a.a.O., N. 48 ff. zu Art. 439 ZGB und Thomas Geiser, in: Basler Kommentar zum Erwachsenenschutz, a.a.O., N. 19 zu Art. 450e ZGB sowie BGE 137 III 289 und Urteil des Bundesgerichts 5A_63/2013 vom</w:t>
      </w:r>
    </w:p>
    <w:p>
      <w:r>
        <w:rPr>
          <w:b/>
        </w:rPr>
        <w:t>E. 7</w:t>
      </w:r>
    </w:p>
    <w:p>
      <w:r>
        <w:t>In Bezug auf die Grundsätze der Kostenauflage im erwachsenenschutz- rechtlichen Beschwerdeverfahren verweisen die Art. 63 Abs. 5 und Art. 60 Abs. 2 EGzZGB subsidiär auf die Bestimmungen der ZPO. Demnach werden die Pro- zesskosten gemäss Art. 106 Abs. 1 ZPO grundsätzlich der unterliegenden Partei auferlegt. Der Beschwerdeführer ist mit seinem sinngemässen Antrag auf sofortige Entlassung aus der Klinik Waldhaus umfassend durchgedrungen. Bei diesem Ver- fahrensausgang verbleiben die Kosten des Beschwerdeverfahrens von insgesamt CHF 2’290.-- (CHF 1'500.00 Gerichtsgebühr und CHF 790.-- Gutachterkosten) beim Kanton Graubünden.</w:t>
      </w:r>
    </w:p>
    <w:p>
      <w:r>
        <w:t>Seite 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