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2015 23 vom 27. Februar 2015</w:t>
      </w:r>
    </w:p>
    <w:p>
      <w:r>
        <w:t>GR Gerichte, 2015-02-27, DE</w:t>
      </w:r>
    </w:p>
    <w:p>
      <w:r>
        <w:rPr>
          <w:b/>
        </w:rPr>
        <w:t xml:space="preserve">Quelle: </w:t>
      </w:r>
      <w:r>
        <w:t>https://mcp.opencaselaw.ch/entscheid/gr_gerichte_ZK1_2015_23</w:t>
      </w:r>
    </w:p>
    <w:p>
      <w:r>
        <w:t>FR: GR_GERICHTE ZK1 2015 23 du 27 février 2015</w:t>
      </w:r>
    </w:p>
    <w:p>
      <w:r>
        <w:t>IT: GR_GERICHTE ZK1 2015 23 del 27 febbraio 2015</w:t>
      </w:r>
    </w:p>
    <w:p>
      <w:pPr>
        <w:pStyle w:val="Heading2"/>
      </w:pPr>
      <w:r>
        <w:t>Regeste</w:t>
      </w:r>
    </w:p>
    <w:p>
      <w:r>
        <w:t>fürsorgerische Unterbringung | KES Fürsorgerische Unterbringung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Zusammenfassend lässt sich festhalten, dass die Voraussetzungen für eine fürsorgerische Unterbringung gemäss Art. 426 ZGB nicht (mehr) erfüllt sind. Trotz anerkannter Behandlungsbedürftigkeit geht die höchstens latent vorhandene Ei- gen- und Fremdgefährdung nicht über ein Mass hinaus, welches einen derart ein- schneidenden Freiheitsentzug wie die stationäre Unterbringung in der Klinik C._____ rechtfertigen würde. Die angeordnete fürsorgerische Massnahme ist in- sofern nicht verhältnismässig, als die adäquate Behandlung der anerkanntermas-</w:t>
      </w:r>
    </w:p>
    <w:p>
      <w:r>
        <w:t>Seite 17 — 18 sen vorhandenen Alkoholkrankheit abseits der Akutphase auch ambulant erfolgen kann. Damit ist die vorliegende Beschwerde gutzuheissen und die ärztliche Ein- weisungsverfügung vom 13. Februar 2015 auf den 03. März 2015 aufzuheben. Vor der umgehenden Entlassung aus der Klinik hat die ärztliche Leitung im Rah- men eines Austrittsgesprächs auf den Abschluss einer Vereinbarung über eine geeignete ambulante Nachbetreuung hinzuwirken und, sollte keine solche Verein- barung zustande kommen, bei der Kindes- und Erwachsenenschutzbehörde Prät- tigau/Davos Antrag auf Anordnung einer geeigneten Nachbetreuung zu stellen.</w:t>
      </w:r>
    </w:p>
    <w:p>
      <w:r>
        <w:rPr>
          <w:b/>
        </w:rPr>
        <w:t>E. 6</w:t>
      </w:r>
    </w:p>
    <w:p>
      <w:r>
        <w:t>In Bezug auf die Grundsätze der Kostenauflage im erwachsenenschutz- rechtlichen Beschwerdeverfahren verweisen die Art. 63 Abs. 5 und Art. 60 Abs. 2 EGzZGB subsidiär auf die Bestimmungen der ZPO. Demnach werden die Pro- zesskosten gemäss Art. 106 Abs. 1 ZPO grundsätzlich der unterliegenden Partei auferlegt. Die Beschwerdeführer ist mit seinem sinngemässen Antrag auf Entlas- sung aus der Psychiatrischen Klinik B._____ vollständig durchgedrungen. Bei die- sem Verfahrensausgang gehen die Kosten des Beschwerdeverfahrens von insge- samt CHF 3'592.50.--, bestehend aus CHF 1'500.-- Gerichtsgebühr und CHF 2'092.50.-- Gutachterkosten, zu Lasten des Kantons Graubünden. Der Kanton Graubünden hat den Beschwerdeführer zudem für seine Rechtsvertretung im Be- schwerdeverfahren ausseramtlich zu entschädigen. In Anbetracht dessen, dass sich die gestellten Fragen zur Sach- und Rechtslage nicht als besonders komplex erwiesen und Rechtsanwalt lic. iur. Dieter Marty keine Kostennote eingereicht hat, erscheint eine pauschale Entschädigung in der Höhe von insgesamt CHF 1'000.00.-- (inkl. Spesen und MwSt.) als angemessen.</w:t>
      </w:r>
    </w:p>
    <w:p>
      <w:r>
        <w:t>Seite 18 — 18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