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2013 97 vom 7. November 2013</w:t>
      </w:r>
    </w:p>
    <w:p>
      <w:r>
        <w:t>GR Gerichte, 2013-11-07, DE</w:t>
      </w:r>
    </w:p>
    <w:p>
      <w:r>
        <w:rPr>
          <w:b/>
        </w:rPr>
        <w:t xml:space="preserve">Quelle: </w:t>
      </w:r>
      <w:r>
        <w:t>https://mcp.opencaselaw.ch/entscheid/gr_gerichte_ZK1_2013_97</w:t>
      </w:r>
    </w:p>
    <w:p>
      <w:r>
        <w:t>FR: GR_GERICHTE ZK1 2013 97 du 7 novembre 2013</w:t>
      </w:r>
    </w:p>
    <w:p>
      <w:r>
        <w:t>IT: GR_GERICHTE ZK1 2013 97 del 7 novembre 2013</w:t>
      </w:r>
    </w:p>
    <w:p>
      <w:pPr>
        <w:pStyle w:val="Heading2"/>
      </w:pPr>
      <w:r>
        <w:t>Regeste</w:t>
      </w:r>
    </w:p>
    <w:p>
      <w:r>
        <w:t>unentgeltliche Rechtspflege | Beschwerde Prozessrecht (ZPO 319, ohne die Endentscheide)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um unentgeltliche Rechtspflege sei rückwirkend ab dem 8. Januar 2013, eventualiter ab Eingang des Gesuchs der Gegenpartei vom 25. Juli 2013, zu gewähren.</w:t>
      </w:r>
    </w:p>
    <w:p>
      <w:r>
        <w:rPr>
          <w:b/>
        </w:rPr>
        <w:t>E. 3</w:t>
      </w:r>
    </w:p>
    <w:p>
      <w:r>
        <w:t>Es sei die unentgeltliche Rechtspflege für das vorliegende Beschwer- deverfahren zu gewähren und der Unterzeichnete als unentgeltlicher Rechtsbeistand zu ernennen.</w:t>
      </w:r>
    </w:p>
    <w:p>
      <w:r>
        <w:rPr>
          <w:b/>
        </w:rPr>
        <w:t>E. 4</w:t>
      </w:r>
    </w:p>
    <w:p>
      <w:r>
        <w:t>Da die in Art. 119 Abs. 6 ZPO statuierte Kostenlosigkeit des Verfahrens gemäss bundesgerichtlicher Rechtsprechung nur für das Gesuchsverfahren sel- ber, nicht aber für ein nachfolgendes Beschwerdeverfahren gilt (BGE 137 III 470 E. 6 S. 471 ff.), sind für das vorliegende Verfahren Kosten zu erheben. Die Be-</w:t>
      </w:r>
    </w:p>
    <w:p>
      <w:r>
        <w:t>Seite 10 — 11 schwerdeführerin vermochte mit ihrer Beschwerde nur zu einem geringen Teil (1/3) durchzudringen, weshalb es sich rechtfertigt, ihr die Kosten des Beschwer- deverfahrens zu 2/3 aufzuerlegen (Art. 106 Abs. 2 ZPO). Im Umfang ihres Obsie- gens (1/3) gehen die Gerichtskosten zu Lasten des Kantons Graubünden (Art. 122 Abs. 1 lit. b ZPO). Die Kosten des Beschwerdeverfahrens werden gestützt auf Art. 10 der Verordnung über die Gerichtsgebühren in Zivilsachen (VGZ; BR 320.210) auf Fr. 1‘500.-- festgesetzt. Mangels Einreichung einer Honorarnote wird der Auf- wand des unentgeltlichen Rechtsvertreters nach Ermessen des Gerichts festge- setzt (Art. 5 Abs. 2 der Verordnung über die Bemessung des Honorars der Rechtsanwältinnen und Rechtsanwälte [Honorarverordnung, HV; BR 310.250]). Angesichts der sich stellenden Sach- und Rechtsfragen von lediglich geringer Komplexität erscheint der I. Zivilkammer vorliegend ein entschädigungspflichtiger Aufwand von vier Stunden als angemessen. Der entsprechenden Entschädigung wird im Umfang des Obsiegens (1/3) der mittlere Stundenansatz von Fr. 240.-- (Art. 3 Abs. 1 HV) und im Umfang des Unterliegens (2/3) der für die unentgeltliche Rechtsvertretung massgebliche Stundenansatz von Fr. 200.-- (Art. 5 Abs. 1 HV) zugrunde gelegt. Hinzu kommen jeweils eine Spesenpauschale von 3% sowie die Mehrwertsteuer von 8%. Demzufolge hat der Kanton Graubünden der zu einem Drittel obsiegenden Beschwerdeführerin eine reduzierte aussergerichtliche Ent- schädigung von Fr. 355.10 (inkl. Spesen und MWSt) zu leisten. Im Umfang des Unterliegens (2/3) werden die Kosten der Rechtsvertretung für das Beschwerde- verfahren in Höhe von Fr. 594.00.-- (inkl. Spesen und MWSt) unter Vorbehalt der Rückforderung gemäss Art. 123 Abs. 1 ZPO in Gewährung der unentgeltlichen Rechtspflege dem Kanton Graubünden in Rechnung gestellt.</w:t>
      </w:r>
    </w:p>
    <w:p>
      <w:r>
        <w:t>Seite 11 — 11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