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29 vom 4. Juli 2005</w:t>
      </w:r>
    </w:p>
    <w:p>
      <w:r>
        <w:t>GR Gerichte, 2005-07-04, DE</w:t>
      </w:r>
    </w:p>
    <w:p>
      <w:r>
        <w:rPr>
          <w:b/>
        </w:rPr>
        <w:t xml:space="preserve">Quelle: </w:t>
      </w:r>
      <w:r>
        <w:t>https://mcp.opencaselaw.ch/entscheid/gr_gerichte_ZF_2005_29</w:t>
      </w:r>
    </w:p>
    <w:p>
      <w:r>
        <w:t>FR: GR_GERICHTE ZF 2005 29 du 4 juillet 2005</w:t>
      </w:r>
    </w:p>
    <w:p>
      <w:r>
        <w:t>IT: GR_GERICHTE ZF 2005 29 del 4 luglio 2005</w:t>
      </w:r>
    </w:p>
    <w:p>
      <w:pPr>
        <w:pStyle w:val="Heading2"/>
      </w:pPr>
      <w:r>
        <w:t>Regeste</w:t>
      </w:r>
    </w:p>
    <w:p>
      <w:r>
        <w:t>Forderung aus Arbeitsvertrag | OR Arbeitsvertrag</w:t>
      </w:r>
    </w:p>
    <w:p>
      <w:pPr>
        <w:pStyle w:val="Heading2"/>
      </w:pPr>
      <w:r>
        <w:t>Erwägungen</w:t>
      </w:r>
    </w:p>
    <w:p>
      <w:r>
        <w:rPr>
          <w:b/>
        </w:rPr>
        <w:t>E. 6</w:t>
      </w:r>
    </w:p>
    <w:p>
      <w:r>
        <w:t>es ihr vielmehr, solche Ansprüche am gewöhnlichen Arbeitsort einzuklagen. Während des hier interessierenden Anstellungsverhältnisses arbeitete Z. aussch- liesslich in W., wo die heutige Beklagte eine ihrer Kliniken betreibt. Der Mittelpunkt der Berufstätigkeit der Klägerin lag also in einer zum Bezirk Prättigau/Davos gehörenden Gemeinde. Damit durfte die von Z. angerufene Vorinstanz ihre inter- nationale und örtliche Zuständigkeit bejahen. Z. will im laufenden Verfahren erreichen, dass die Stiftung Y. gerichtlich verpflichtet wird, ihr rund Fr. 20'000.00 samt Zins zu bezahlen. Eine solche Klage fällt gemäss Art. 19 Ziff. 1 ZPO in die sachliche Zuständigkeit des jeweiligen Be- zirksgerichtes, hier also jenes von Prättigau/Davos, so dass auch insoweit einem Eintreten auf die Streitangelegenheit durch die Vorinstanz nichts entgegenstand. Bezirksgerichtliche Urteile im Sinne von Art. 19 ZPO, seien sie in vermö- gensrechtlichen (Ziff. 1) oder nicht vermögensrechtlichen Streitsachen (Ziff. 2) er- gangen, können gemäss Art. 218 Abs. 1 ZPO mit Berufung bei der Zivilkammer des Kantonsgerichtes angefochten werden, wobei bei Ersteren der ursprünglich erforderliche Streitwert (höher als Fr. 8000.00) im Zeitpunkt der Ausfällung des erstinstanzlichen Urteils noch vorhanden sein muss (vgl. PKG 1994-15-54). Dem war hier offensichtlich so, ist es doch vor Bezirksgericht Prättigau/Davos weder zu einem Rückzug in entsprechendem Umfang noch zu einer teilweisen Anerken- nung der Klage gekommen. Da das Rechtsmittel überdies innert Frist ergriffen wurde (Art. 219 Abs. 1 Satz 1 ZPO) und da die Weiterzugserklärung ausserdem den gesetzlichen Formerfordernissen entspricht (Art. 219 Abs. 1 Satz 2 ZPO), ist darauf grundsätzlich einzutreten. Keiner Ergänzung bedürfen die Ausführungen im angefochtenen Urteil, wo- nach die hier zu beurteilende arbeitsvertragliche Streitsache mangels einer abwei- chenden Rechtswahl (Art. 116 Abs. 1 IPRG) dem materiellen Schweizer Recht unterstehe (Art. 121 Abs. 1 IPRG), während das Verfahren (wie oben bereits berücksichtigt) von der bündnerischen ZPO beherrscht werde. Darauf kann ver- wiesen werden (Art. 229 Abs. 3 ZPO). 2. Nachdem Z. in der schriftlichen Berufungserklärung vom 21. April 2005 an ihrem Begehren um Zulassung zur Beweisaussage noch ausdrücklich festgehalten hatte, liess sie den Antrag an der mündlichen Berufungsverhandlung</w:t>
      </w:r>
    </w:p>
    <w:p>
      <w:r>
        <w:rPr>
          <w:b/>
        </w:rPr>
        <w:t>E. 07</w:t>
      </w:r>
    </w:p>
    <w:p>
      <w:r>
        <w:t>April 2004 eine solche Kündigung auf den 31. Juli 2004 ausgesprochen wurde, und weiter, dass dieses Vorgehen zulässig war, dass damit insbesondere die ver- traglich vereinbarte Kündigungsfrist von drei Monaten eingehalten wurde. Ebenso wenig angezweifelt wurde die grundsätzliche Befugnis der genannten Vorgesetz- ten, die Arbeitnehmerin mit sofortiger Wirkung zu entlassen, wie es am 07. April 2004 denn auch geschehen ist. Prozessthema ist hingegen, ob im konkreten Fall die Voraussetzungen erfüllt waren, um gegenüber Z. eine derart schwer wiegende Massnahme zu ergreifen. Gemäss Art. 337 OR können sowohl die Arbeitnehmerin wie die Arbeitge- berin das Arbeitsverhältnis aus wichtigen Gründen jederzeit fristlos auflösen (Abs. 1). Als wichtiger Grund gilt jeder Umstand, bei dessen Vorhandensein der Kündi- genden nach Treu und Glauben die Fortsetzung des Arbeitsverhältnisses nicht mehr zugemutet werden darf (Abs. 2). Ob solche Umstände vorliegen, entscheidet das Gericht nach pflichtgemässem Ermessen (Abs. 3). Eine fristlose Entlassung ist nur bei besonders schweren Verfehlungen der Arbeitnehmerin gerechtfertigt. Sie müssen einerseits objektiv geeignet sein, die für das Arbeitsverhältnis wesent- liche Vertrauensgrundlage zu zerstören oder zumindest so tief greifend zu er- schüttern, dass der Arbeitgeberin die Fortsetzung des Vertragsverhältnisses nicht mehr zuzumuten ist. Daneben ist zusätzlich erforderlich, dass sich das beanstan- dete Verhalten auch tatsächlich so ausgewirkt hat, es also zu einer entsprechen- den Zerstörung oder Erschütterung des gegenseitigen Vertrauens gekommen ist. Wiegen die Verfehlungen weniger schwer, müssen sie trotz Verwarnung wieder- holt vorgekommen sein, um hinreichend Anlass zu geben für eine sofortige Been-</w:t>
      </w:r>
    </w:p>
    <w:p>
      <w:r>
        <w:rPr>
          <w:b/>
        </w:rPr>
        <w:t>E. 7</w:t>
      </w:r>
    </w:p>
    <w:p>
      <w:r>
        <w:t>vom 04. Juli 2005 wieder fallen. Darauf braucht also nicht weiter eingegangen zu werden. An der mündlichen Berufungsverhandlung liess die Stiftung Y. ihrerseits ihr Begehren vom 29. Juni 2005 zurückziehen, wonach Z. zur Sicherstellung all jener aussergerichtlicher Kosten hätte verpflichtet werden sollen, welche ihr (der Be- klagten und Berufungsbeklagten) im laufenden Prozess bereits entstanden seien und noch erwachsen würden. In einer separaten Verfügung vom heutigen Tag (04. Juli 2005) konnte das Gesuch deshalb als erledigt abgeschrieben werden (PZ 05 136). Weitere Ausführungen hierzu erübrigen sich. 3. Im Verfahren blieb unbestritten, dass V. und U. berechtigt waren, das zu Z. bestehende Arbeitsverhältnis ordentlich aufzulösen, desgleichen, dass am</w:t>
      </w:r>
    </w:p>
    <w:p>
      <w:r>
        <w:rPr>
          <w:b/>
        </w:rPr>
        <w:t>E. 8</w:t>
      </w:r>
    </w:p>
    <w:p>
      <w:r>
        <w:t>digung des Arbeitsverhältnisses (vgl. BGE 130 III 213 E. 3.1 S. 220 f.). Beweisbe- lastet ist die kündigende Partei (vgl. JAR 2001 S. 320). Tätlichkeiten und Be- schimpfungen gegenüber Vorgesetzten dürften in aller Regel die fristlose Entlas- sung der fehlbaren Arbeitnehmerin rechtfertigen. Je nach den konkreten Umstän- den des Einzelfalles kann die Beurteilung freilich auch anders ausfallen; insbeson- dere dann, wenn sich der Vorfall in einer Situation erhöhter Spannung ereignet hat und die Betroffenen dies wegen eigenen vertrags- oder gesetzeswidrigen Verhal- tens selber zu vertreten haben (vgl. MANFRED REHBINDER / WOLFGANG PORTMANN, Basler Kommentar, Obligationenrecht I, [Hrsg.: HEINRICH HONSELL, NEDIM PETER VOGT und WOLFGANG WIEGAND], 3. Aufl., Basel 2003, Art. 337 OR N. 21 und 23; MANFRED REHBINDER, Berner Kommentar, Das Obligationenrecht, Band VI.2.2.2, Art. 337 OR N. 9). 4. Nach den Akten, insbesondere den insoweit glaubhaften und im Grunde auch gar nicht bestrittenen Aussagen der Zeuginnen V., U. und T., steht mit hinlänglicher Sicherheit fest, dass es am Vormittag des 07. April 2004 zwi- schen Z. und ihrer direkten Vorgesetzten, der hauswirtschaftlichen Betriebsleiterin V., zu einer lautstark ausgetragenen Meinungsverschiedenheit um die Rückgabe der Kopie eines Kündigungsschreibens gekommen ist, welche der Arbeitnehmerin am Morgen des gleichen Tages ausgehändigt worden war. Z. liess es dabei nicht damit bewenden, den wiederholten Aufforderungen ihrer Vorgesetzten auf Her- ausgabe des gewünschten Dokumentes zu widersprechen. Vielmehr biss sie V. im Verlaufe der Auseinandersetzung in den Unterarm, und dies so fest, dass der Zahnabdruck, wie die Personalverantwortliche U. bestätigen konnte, einige Zeit sichtbar blieb. Würde es sich hierbei um den einzig wesentlichen Umstand han- deln, wäre nach dem eben in E. 3 Gesagten die fristlose Entlassung nicht zu be- anstanden gewesen. Ein tätlicher Angriff der geschilderten Art auf eine Vorge- setzte stellt eine schwere Persönlichkeitsverletzung dar und zerstört in aller Regel das für eine Weiterbeschäftigung der Arbeitnehmerin erforderliche Vertrauensver- hältnis. Im vorliegenden Fall gilt es nun aber zu berücksichtigen, dass Z., der die Arbeitsstelle eben erst ordentlich gekündigt worden war, von ihrer Vorgesetzten ohne sachlichen Grund gedrängt wurde, die ihr überlassene Kopie des Kündi- gungsschreibens wieder herauszugeben. Dabei war sich V., wie ihre Zeugenaus- sagen zeigen, nach bereits Erlebtem der aufbrausenden Seite des Charakters der Arbeitnehmerin durchaus bewusst. Indem sie trotz solcher Erfahrungen ohne rechtlich schützenswertes Interesse auf ihrem Ansinnen beharrte, schuf sie völlig</w:t>
      </w:r>
    </w:p>
    <w:p>
      <w:r>
        <w:rPr>
          <w:b/>
        </w:rPr>
        <w:t>E. 9</w:t>
      </w:r>
    </w:p>
    <w:p>
      <w:r>
        <w:t>unnötig einen Zustand, in welchem ernstlich zu befürchten war, dass sich Z. in ihrer Verwirrung und Empörung wegen des von ihr Verlangten mit unzulässigen Mitteln zur Wehr setzen könnte. Hinzu kommt schliesslich noch, dass sich V. in einem Zeitpunkt, als Z. laut eigener Einschätzung der hauswirtschaftlichen Be- triebsleiterin bereits „massive Stresssymptome“ zeigte, dazu hinreissen liess, sie an der Schulter zu berühren, und dies in einer Form, die von der Personalverant- wortlichen U. als eigentliches Zurückhalten verstanden wurde. Obwohl V. ihr Vor- gehen anders aufgefasst haben wollte, als blosses Beschwichtigungsbemühen nämlich, hätte sie damit rechnen müssen, dass die völlig aufgebrachte Arbeitneh- merin darin einen Versuch sehen könnte, dass ihr das umstrittene Papier nunmehr mit Gewalt entrissen werden sollte, was sie dann handgreiflich werden liess. All dies lässt die von Z. begangene Tätlichkeit etwas weniger gravierend erscheinen, und es wäre unter diesen Umständen wohl angezeigt gewesen, wenn die Arbeit- nehmerin lediglich verwarnt und darauf hingewiesen worden wäre, sie müsse mit der fristlosen Entlassung rechnen, sollte sie in der verbleibenden Anstellungszeit ihren Vorgesetzten gegenüber verbal oder tätlich ausfällig werden. – Zu keiner anderen Einschätzung gelangt man, wenn zusätzlich das Verhalten von Z. unmit- telbar nach der Auseinandersetzung mit V. berücksichtigt wird. Es ist ohne weite- res einfühlbar, dass sie durch den Vorfall derart aufgewühlt wurde, dass ihr dies körperliche Beschwerden bereitet hatte, und dass sie darauf, ohne sich näher Ge- danken zu machen, überstürzt ihren Arzt aufgesucht hat. Dabei ist auch verständ- lich, dass sie ihre Fassung nicht sofort wieder gefunden hat und dass sie deshalb subjektiv gar nicht in der Lage war, sich ausgerechnet bei jener Person um die Erlaubnis zum Weggehen zu bemühen, mit der sie sich eben noch gestritten hatte. Dass für die Arztkonsultation keine im Voraus erteilte Bewilligung vorlag, wog also nicht derart schwer, dass dies den Ausschlag zu Gunsten einer fristlosen Entlas- sung hätte geben können, zumal die Klägerin offenbar nach kurzer Abwesenheit wieder an ihren Arbeitsplatz zurückgekehrt ist. – Gleiches gilt für den Umstand, dass der Klägerin aus Sicht der Beklagten wegen nicht immer konstant guter Ar- beitsleistungen und wegen teils uneinsichtigen Verhaltens ihren Vorgesetzten ge- genüber bereits ordentlich gekündigt worden war. Gesamthaft betrachtet erscheint bei dieser Sachlage die am 07. April 2004 gegenüber Z. ausgesprochene fristlose Entlassung als nicht gerechtfertigt. Inso- weit die Vorinstanz gegenteilig entschieden hat, ist ihr Urteil in (teilweiser) Gut- heissung der Berufung aufzuheben.</w:t>
      </w:r>
    </w:p>
    <w:p>
      <w:r>
        <w:rPr>
          <w:b/>
        </w:rPr>
        <w:t>E. 10</w:t>
      </w:r>
    </w:p>
    <w:p>
      <w:r>
        <w:t>5. Die fristlose Entlassung einer Arbeitnehmerin beendet das Vertrags- verhältnis selbst dann, wenn sich das Vorgehen der Arbeitgeberin bei einer späte- ren gerichtlichen Überprüfung als unzulässig herausstellen sollte. Die Betroffene besitzt in solchen Fällen keinen Anspruch auf Weiter- bzw. Wiederbeschäftigung. Vielmehr steht ihr nach Art. 337c Abs. 1 OR vorab einmal Schadenersatz zu, und dies in der Höhe des Verdienstes, den sie erzielt hätte, wenn das Arbeitsverhältnis ordnungsgemäss aufgelöst worden wäre. In Fällen wie hier mit unbestimmter Ver- tragsdauer besitzt die Arbeitnehmerin somit Anspruch auf Lohnersatz bis zum Ein- tritt des nächsten zulässigen Kündigungstermins (vgl. REHBINDER/PORTMANN, a. a. O., Art. 337c OR N. 1 f.; REHBINDER, a. a. O., Art. 337c OR N. 2; ADRIAN STÄHELIN / FRANK VISCHER, Zürcher Kommentar, Obligationenrecht, Band V.2.c, Art. 337c OR N. 7), Z. also angesichts der genannten dreimonatigen Kündigungsfrist sowie des Umstandes, dass keine der gesetzlichen Kündigungsbeschränkungen An- wendung findet, bis zum 31. Juli 2004. Bei der Ermittlung des der Klägerin zustehenden Guthabens ist auf ihre ei- genen Berechnungen abzustellen, soweit sie mit den Lohnunterlagen der Beklag- ten und den Vorgaben über die vorzunehmenden Abzüge in Einklang stehen und nicht offensichtliche Versehen enthalten. Der Bruttolohn inkl. Schichtzulage für die Monate April, Mai, Juni und Juli 2004 beläuft sich danach auf Fr. 15'740.60. Hinzu kommen Fr. 1967.70 als Anteil am 13. Monatslohn für das erste Halbjahr 2004, was ein Zwischentotal von Fr. 17'708.30 ergibt. Hiervon abzuziehen sind Fr. 1936.30 an Versicherungsbeiträgen sowie die Ende April 2004 erfolgte Auszah- lung von Fr. 3385.60, womit sich ein Guthaben von Fr. 12'386.40 ergibt. Dieser Betrag ist ab einem mittleren Zeitpunkt (dem 31. Mai 2004) zu 5 % zu verzinsen. 6. Wird eine Arbeitnehmerin ohne zureichenden Grund fristlos entlas- sen, muss es mit der Zusprechung von Schadenersatz gestützt auf Art. 337c Abs. 1 OR noch nicht sein Bewenden haben. Das Gericht kann die Arbeitgeberin viel- mehr überdies verpflichten, der Arbeitnehmerin zusätzlich eine Strafzahlung im Sinne von Art. 337c Abs. 3 OR zu entrichten. Deren Höhe bemisst es nach den konkreten Umständen des Einzelfalles, wobei der Betrag von sechs Monatslöhnen nicht überstiegen werden darf. Zweck dieser gesetzlichen Regelung ist einmal, Arbeitgeberinnen von leichtfertig ausgesprochenen fristlosen Entlassungen abzu- halten. Kommt es im Einzelfall dennoch dazu, soll darüber hinaus durch eine sol- che Geldstrafe die seelische Unbill abgegolten werden, welche die Arbeitnehmerin</w:t>
      </w:r>
    </w:p>
    <w:p>
      <w:r>
        <w:rPr>
          <w:b/>
        </w:rPr>
        <w:t>E. 11</w:t>
      </w:r>
    </w:p>
    <w:p>
      <w:r>
        <w:t>durch die ungerechtfertigte fristlose Auflösung des Vertragsverhältnisses erlitten hat (vgl. BGE 123 V 5 E. 2.a S. 7). Wie frei das Gericht bei seinem Entscheid ist, wann es eine Strafzahlung nach Art. 337c Abs. 3 OR anordnen soll und wann es sie verweigern darf, ist in Lehre und Rechtsprechung umstritten. So soll nach BGE 116 II 300 E. 5.a S. 301 eine unzulässige fristlose Entlassung regelmässig zur Folge haben, dass die Arbeitgeberin zur Erbringung einer solchen Geldleistung verpflichtet wird . Nur aussergewöhnlich gelagerte Fälle rechtfertigten ein Abwei- chen hiervon. Dem wird zum Teil entgegengehalten, dass sich ein derart enger Rahmen mit der Ausgestaltung von Art. 337c Abs. 3 OR als Kann-Vorschrift nicht vertrage (vgl. STÄHELIN/VISCHER, a. a. O., Art. 337c OR N. 15), und in jüngerer Zeit äusserte auch das Bundesgericht gewisse Zweifel, ob dem Gericht, das sich mit den Wirkungen einer ungerechtfertigten fristlosen Entlassung auseinander zu set- zen habe, nicht ein grösserer Spielraum eingeräumt werden müsste (vgl. die Be- merkungen auf S. 266 des in JAR 2002 S. 263 ff. publizierten Entscheides). Wie hier die Gewichtung künftig erfolgen wird, lässt sich nicht verlässlich abschätzen, ist aber für den Ausgang der vorliegenden Streitsache auch nicht von massgebli- cher Bedeutung. Wie bereits ausgeführt wurde (vgl. oben E. 4), hat Z. im Rahmen einer vor- erst verbal geführten Auseinandersetzung ihre Vorgesetzte, die hauswirtschaftli- che Betriebsleiterin, überraschend in den Unterarm gebissen, und dies in Anwe- senheit weiterer Klinikangestellten, unter ihnen insbesondere der Verantwortli- chen für das Personalwesen. Damit hat die Klägerin eine Überreaktion an den Tag gelegt, die in hohem Masse geeignet war, das Ansehen der Angegriffenen im Be- trieb zu beeinträchtigen. Es ist daher, wenn auch rechtlich nicht haltbar (vgl. E. 4), menschlich sehr wohl verständlich, dass sich V. und U., die beim Dazwischenge- hen nach ihren glaubhaften Angaben ebenfalls noch einen Schlag erhalten haben will, unter dem Eindruck des eben Geschehenen veranlasst sahen, das Arbeits- verhältnis mit Z. mit sofortiger Wirkung aufzulösen, was die Stiftung Y. in der Folge gegen sich gelten lassen musste. Angesichts dieser Umstände, insbesondere des erheblichen Fehlverhaltens der Arbeitnehmerin, wäre es in hohem Masse stos- send, wenn die Arbeitgeberin über ihre Verpflichtung hinaus, Z. für beinahe vier Monate den Verdienstausfall zu ersetzen, noch eine Strafzahlung zu entrichten hätte (vgl. JAR 1994 S. 235; STÄHELIN/VISCHER, a. a. O., Art. 337c OR N. 15 am Ende). In diesem Punkt bleiben also Berufung und Klage ohne Erfolg.</w:t>
      </w:r>
    </w:p>
    <w:p>
      <w:r>
        <w:rPr>
          <w:b/>
        </w:rPr>
        <w:t>E. 12</w:t>
      </w:r>
    </w:p>
    <w:p>
      <w:r>
        <w:t>7. In zivilprozessualen Auseinandersetzungen um behauptete An- sprüche aus Einzelarbeitsvertrag bis zu einem Streitwert von Fr. 30'000.00 dürfen auf die Parteien von hier nicht weiter interessierenden Ausnahmen abgesehen keine Gerichtskosten abgewälzt werden (Art. 343 Abs. 2 und 3 OR); sie sind viel- mehr auf die jeweilige Gerichtskasse zu nehmen. Dies berücksichtigend überband das Bezirksgericht Prättigau/Davos die vermittleramtlichen Kosten der Kreiskasse W., während es jene des erstinstanzlichen Gerichtsverfahrens der Bezirksge- richtskasse belastete. – Entsprechendes gilt für das Berufungsverfahren, dessen Kosten somit vom Kanton Graubünden zu tragen sind. Kostenbefreiung im Sinne von Art. 343 Abs. 3 OR ändert nichts daran, dass die obsiegende Partei grundsätzlich einen Anspruch besitzt, zu Lasten der unter- liegenden Gegnerin eine angemessene aussergerichtliche Entschädigung zuge- sprochen zu erhalten (vgl. BGE 115 II 30 E. 5c S. 42). Laut dem Ergebnis des Berufungsverfahrens ist der Klägerin mit ihren ursprünglichen, nach dem Schei- tern vor der Vorinstanz unverändert gelassenen Begehren nunmehr insoweit Er- folg beschieden, als ihre fristlose Entlassung als ungerechtfertigt eingestuft und ihre Forderung auf Ersatz des dadurch entgangenen Verdienstes geschützt wurde, letzteres nicht nur dem Grundsatz nach, sondern auch betragsmässig. In einem anderen wesentlichen Punkt vermochte sie indessen mit ihren Anträgen nicht durchzudringen, bleiben ihr doch Leistungen aus Art. 337c Abs. 3 OR ver- sagt. Dies ruft nach einer spürbaren Reduktion gegenüber der ungeschmälerten Entschädigung, die bei vollständigem Obsiegen gesamthaft geschuldet gewesen wäre. Hinzu kommt, dass in den zu den Akten gegebenen Honorarnoten des Ver- treters der Klägerin bei dem nach Zeitaufwand zu ermittelnden Entgelt von einem Stundenansatz von Fr. 220.00 ausgegangen wird. Dies ist übersetzt, wurde das Mandat doch überwiegend durch einen Mitarbeiter von Rechtsanwalt Schmid aus- geübt, der noch nicht im Besitz eines Anwaltspatentes ist. Dessen Bemühungen sind nach der Praxis mit einem Ansatz von 75 % des ordentlichen Honorars zu entschädigen, mit Fr. 165.00 pro Stunde also. Trägt man alldem Rechnung, ist die Beklagte zu verpflichten, der Klägerin unter zusätzlicher Berücksichtigung der Spesen und des Streitwertzuschlages eine Umtriebsentschädigung von insge- samt Fr. 3700.00 zu bezahlen (die Mehrwertsteuer eingeschlossen), Fr. 2500.00 für das erstinstanzliche Verfahren und Fr. 1200.00 für das Verfahren vor der Wei- terzugsinstanz.</w:t>
      </w:r>
    </w:p>
    <w:p>
      <w:r>
        <w:rPr>
          <w:b/>
        </w:rPr>
        <w:t>E. 13</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