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24 vom 3. Oktober 2005</w:t>
      </w:r>
    </w:p>
    <w:p>
      <w:r>
        <w:t>GR Gerichte, 2005-10-03, DE</w:t>
      </w:r>
    </w:p>
    <w:p>
      <w:r>
        <w:rPr>
          <w:b/>
        </w:rPr>
        <w:t xml:space="preserve">Quelle: </w:t>
      </w:r>
      <w:r>
        <w:t>https://mcp.opencaselaw.ch/entscheid/gr_gerichte_ZF_2005_24</w:t>
      </w:r>
    </w:p>
    <w:p>
      <w:r>
        <w:t>FR: GR_GERICHTE ZF 2005 24 du 3 octobre 2005</w:t>
      </w:r>
    </w:p>
    <w:p>
      <w:r>
        <w:t>IT: GR_GERICHTE ZF 2005 24 del 3 ottobre 2005</w:t>
      </w:r>
    </w:p>
    <w:p>
      <w:pPr>
        <w:pStyle w:val="Heading2"/>
      </w:pPr>
      <w:r>
        <w:t>Regeste</w:t>
      </w:r>
    </w:p>
    <w:p>
      <w:r>
        <w:t>Dienstbarkeit (Bauhöhenbeschränkung, Entstehung durch Vergleich im öffentlich-rechtlichen Baueinspracheverfahren) | ZGB Sachenrecht</w:t>
      </w:r>
    </w:p>
    <w:p>
      <w:pPr>
        <w:pStyle w:val="Heading2"/>
      </w:pPr>
      <w:r>
        <w:t>Erwägungen</w:t>
      </w:r>
    </w:p>
    <w:p>
      <w:r>
        <w:rPr>
          <w:b/>
        </w:rPr>
        <w:t>E. 22</w:t>
      </w:r>
    </w:p>
    <w:p>
      <w:r>
        <w:t>dass zwischen den beteiligten Privatrechtssubjekten eine Festlegung der maxima- len Bauhöhe per se und auf Dauer, so zu sagen GÜP-unabhängig, übereinstim- mend gewollt war. gg. Zu Recht hat die Vorinstanz bei der Auslegung der Willensäusserun- gen auf die beruflichen Kenntnisse von AX. als Rechtsanwalt und Notar sowie auf dessen Bewusstseinslage im Moment des Vertragsschlusses abgestellt. Nach Auf- fassung der Zivilkammer liegt in Bezug auf den Aspekt der privatrechtlichen Bauhöhenbeschränkung gar kein Dissens sondern Konsens im Sinne des vorste- hend ausgelegten Vertragsinhalts - nämlich Erledigung der Einsprache und Be- schränkung auf die öffentlich-rechtlichen Wirkungen gemäss GÜP - vor. Nach der Bewusstseinslage von Rechtsanwalt und Notar AX. muss angenommen werden, dass dieser spätestens im Zeitpunkt der Unterzeichnung am 6. Juli 1988 seine ur- sprüngliche Absicht - dauerhafte gegenseitige Form der Absicherung (Grundbuch- eintrag) - fallen liess und damit auf den Abschluss eines Dienstbarkeitsvertrages verzichtete. Daran vermag auch das Antwortschreiben von Stadtrat S. vom 1. Juni 1988 nichts zu ändern. Wenn dieser ihm beschied, irgendwelche zusätzlichen grundbuchlichen Regelungen würden sich dann selbstverständlich erübrigen, da ja der Gesamtüberbauungsplan insgesamt nach erfolgter Genehmigung und Eintritt der Rechtskraft im Grundbuch angemerkt werde, so konnte sich dies für den Rechtskundigen augenfällig nur auf das öffentlich-rechtliche Verfahren des GÜP be- ziehen. Dem Rechtsvertreter von JC. musste andererseits klar sein, dass allein mit der Anmerkung des öffentlich-rechtlichen Gestaltungsplans im Grundbuch die in seiner Vorstellung bestehende Idee, die Rechtswirkungen einer die öffentlich-recht- liche Planung überdauernden privatrechtlichen Grunddienstbarkeit herbeizuführen, schlicht nicht verwirklicht werden konnte. Der klägerische Rechtsvertreter hat im erstinstanzlichen Verfahren behaup- tet, die schriftliche Vereinbarung vom 6. Juli 1988 sei von den SBB formuliert worden (act. 0.2.III.22 S. 10). Die Beklagte hat sich dazu nicht geäussert. Selbst wenn es als erwiesen anzusehen wäre, könnten die Kläger daraus kaum etwas für ihren Standpunkt ableiten. Falls die schriftliche Vereinbarung von den SBB verfasst sein sollte, ist nicht erklärbar, dass in der Vorstellung von JC. und AX. einerseits "die rechtsverbindliche und dauerhafte gegenseitige Form der Absicherung durch Grundbucheintrag" feste Absicht gewesen sein soll und andererseits die Vereinba- rung von ihnen dann gleichwohl unterzeichnet wurde. Denn darin ist von Grund- dienstbarkeit und Eintragung im Grundbuch - wie die Kläger selbst einsehen - nicht ansatzweise die Rede. Ihr Verhalten lässt nur einen Schluss zu, nämlich, dass der</w:t>
      </w:r>
    </w:p>
    <w:p>
      <w:r>
        <w:rPr>
          <w:b/>
        </w:rPr>
        <w:t>E. 23</w:t>
      </w:r>
    </w:p>
    <w:p>
      <w:r>
        <w:t>Kläger und Rechtsanwalt AX. respektive seine Mutter im Zeitpunkt des 6. Juli 1988 einen anderen Willen gebildet hatten. hh. Auf mangelnden Willen zum Abschluss eines Dienstbarkeitsvertrages deutet auch das Verhalten nach Abschluss des Vergleichs hin. Vor der Vorinstanz haben die Kläger geltend gemacht, die Vereinbarung sei nicht als Dienstbarkeitsvertrag ausgestaltet worden, weil dieser nicht im Grundbuch hätte eingetragen werden können. Die Eintragung wäre nach ihrer Ansicht nicht möglich gewesen, weil sich der materielle Gehalt der GÜP-Änderung und die Re- gelung in einer Dienstbarkeit gedeckt hätten. Diese verfehlte Auffassung hat die Vorinstanz mit zutreffenden Überlegungen verworfen (act. 02.I.1, S. 10), worauf ver- wiesen werden kann (Art. 229 Abs. 3 ZPO). Mit Berufung wird nun geltend gemacht, die Vereinbarung sei als Grunddienstbarkeit eintragungsfähig. Dannzumal stellt sich die Frage, warum die Kläger damit 15 Jahre zugewartet haben. Es muss angenom- men werden, dass die Rechtsvorgängerin und ihr Vertreter einen derartigen Willen und ein entsprechendes Bewusstsein im Moment des Vertragsschlusses gar nicht (mehr) hatten. Wäre es anders gewesen, hätte Rechtsanwalt und Notar AX. ohne Säumnis auf Eintragung der Dienstbarkeit im Grundbuch gedrängt. Im Zusammenhang mit den Vorbereitungsarbeiten der Stadt für die 4. Ände- rung des GÜP (2002) war Rechtsanwalt AX. von der Stadtverwaltung Chur zu einer Besprechung eingeladen worden. Mit Schreiben vom 16. Februar 2001 nahm er zu den geplanten Änderungen Stellung. Er führte dabei aus: "Sie haben das Gebäude F2 zwar sehr weitgehend aus unserer Sicht gerückt, was wir durchaus zu schätzen wissen. Das wird uns längerfristig aber wenig nützen. Wir müssen daher auf der mit den SBB vereinbarten Höhe beharren, wie auch auf den Bestimmungen über die Aufbauten" (act. 02.III.17, S. 5). Er wollte damit augenscheinlich gegenüber den Behörden bereits im Planungsstadium erreichen, dass diese die Bauhöhenbegren- zung auf die Kote 599.50 auch im abgeänderten GÜP beibehielten - dies wohl im Bewusstsein, dass mit der Vereinbarung vom 6. Juli 1988 keine privatrechtlich bin- dende Grunddienstbarkeit vereinbart worden war. Anders wäre nicht einzusehen, warum er auf die geplanten Abänderungen des öffentlich-rechtlichen GÜP Einfluss zu nehmen versuchte. Hätte er sich gegenüber der Eigentümerin der Parzelle 1404 auf eine frühere, privatrechtlich dauerhaft bindende Bauhöhenbeschränkung beru- fen können, hätte er sich eine solche Einflussnahme auf die öffentlich-rechtliche Planung sparen können. Auch in diesem Zeitpunkt dachte Rechtsanwalt AX. nicht daran, einen Grundbucheintrag zu erwirken.</w:t>
      </w:r>
    </w:p>
    <w:p>
      <w:r>
        <w:rPr>
          <w:b/>
        </w:rPr>
        <w:t>E. 24</w:t>
      </w:r>
    </w:p>
    <w:p>
      <w:r>
        <w:t>4. Die Berufungskläger verkennen die öffentlich-rechtlichen und die pri- vatrechtlichen Wirkungen der Vereinbarung vom 6. Juli 1988 sowie insbesondere die Wirkung der grundbuchlichen Anmerkung eines Gesamtüberbauungsplans grundlegend: a. Ihre Auffassung, der vereinbarungsgemäss abgeänderte GÜP 1988 habe wirksam und während der ganzen Dauer seiner Anmerkung im Grundbuch gegen jegliche Vertragsverletzungen geschützt, ist materiell zwar zutreffend, formell indessen unhaltbar. Mit der behördlich abgesegneten Änderung des GÜP 1988 konnte sich einerseits jedermann, welcher durch ein konkretes Baubewilligungsge- such der SBB hinreichend beschwert im Sinne des öffentlichen Baurechts war - nicht nur die Kläger - darauf berufen, dass im entsprechenden Baufenster nicht über die Kote von 599.50 m.ü.M. hinaus gebaut werden durfte. Andererseits war dieser gesamte Berechtigtenkreis - auch die Kläger - mitnichten darauf angewie- sen, sich hiefür auf die Vereinbarung JC./SBB vom 6. Juli 1988 als Rechtsgrundlage zu berufen. Diese gab es gar nicht mehr, denn sie war mit ihrer Erfüllung - Bewilli- gung des materiellen Teils des Vergleichs durch den Stadtrat/Gemeinderat und Ein- verleibung in den GÜP- allgemein verbindlicher Teil des GÜP geworden und bildete keine eigenständige Rechtsgrundlage für eine Berufung auf die Bauhöhenbe- schränkung mehr. b. Die Berufungskläger machen weiter geltend, die Beklagte habe auch den anderen Teil der Bedingungen, nämlich die langfristige Absicherung (sprich Grundbucheintrag) akzeptiert und vollzogen, obwohl sie sich dazu nicht in schriftli- cher Form verpflichtet habe. Die Vereinbarung vom Juli 1988 äussere sich zwar nicht zum Thema der grundbuchlichen Absicherung, dies sei aber auch gar nicht nötig. Denn die Anmeldung von Belastungen beim Grundbuchamt habe regelmäs- sig vom belasteten Grundstückeigentümer durch einseitige Willensäusserung aus- zugehen. Die SBB hätten, angesichts des Schreibens von Rechtsanwalt AX. an Stadtrat S. vom 30. Mai 1988, mit der Unterzeichnung der Vereinbarung eine ge- genseitige rechtsverbindliche und dauerhafte Absicherung der Vereinbarung veran- lasst, wenn auch nicht in der Form des Eintrags einer Grunddienstbarkeit, sondern durch die Änderung des GÜP und dessen spätere Anmerkung im Grundbuch. Die Anmerkung habe nicht ohne entsprechende Willensäusserung der SBB erfolgen können. Die Gegenseite habe die Quartierplanbestimmungen und deren Art. 36b [recte: 31] gebilligt und damit den Stadtrat ermächtigt, die Anmerkung im Grundbuch vorzunehmen. Während der GÜP selbst in seiner Gesamtheit die SBB öffentlich- rechtlich verpflichtete, hätten sie sich durch dessen Anmerkung im Grundbuch im</w:t>
      </w:r>
    </w:p>
    <w:p>
      <w:r>
        <w:rPr>
          <w:b/>
        </w:rPr>
        <w:t>E. 25</w:t>
      </w:r>
    </w:p>
    <w:p>
      <w:r>
        <w:t>Rahmen der Vereinbarung auch den Klägern gegenüber privatrechtlich dauerhaft gebunden. Die Anmerkung habe nicht nur Publizität zugunsten der Allgemeinheit bewirkt, wie dies durch die Quartierplanbestimmungen vorgesehen war, sondern implizite und zusätzlich auch Gunsten der Kläger. Letzteres mag im öffentlich-rechtlichen Bereich des Bauens zutreffen. Ein Trugschluss ist dagegen, dass sich die SBB mit der Anmerkung gegenüber den Klägern im Sinne einer Grunddienstbarkeit privatrechtlich gebunden hätten. Es ist nicht angängig, in der grundbuchlichen Anmerkung des GÜP den Willen zum Ab- schluss einer Grunddienstbarkeit oder gar den Vollzug einer solchen zu erblicken. Was ins Grundbuch eingetragen werden kann, kann nicht angemerkt werden; was angemerkt werden kann, kann nicht eingetragen werden (Liver, ZBGR 50 (1969) S. 11). Eine Bauhöhenbeschränkung kann als Dienstbarkeit im Grundbuch eingetra- gen werden, demzufolge kann sie dort als solche nicht angemerkt werden. Was vorliegend angemerkt wurde, war der GÜP 1988 als öffentlich-rechtliche Eigentums- beschränkung. Als solche besteht er nach Art. 680 ZGB ohne Eintragung und na- mentlich auch ohne Anmerkung im Grundbuch (Arthur Homberger, Zürcher Kom- mentar zum Schweizerischen Zivilgesetzbuch, 2. A., Zürich 1938, N 1 zu Art. 962; Arthur Meier-Hayoz, Berner Kommentar zum Schweizerischen Privatrecht, Schwei- zerisches Zivilgesetzbuch, 3. A., Bern 1975, N 73 zu Art. 680). Gemäss Art. 962 Abs. 1 ZGB können die Kantone vorschreiben, dass derartige Eigentumsbeschrän- kungen im Grundbuch anzumerken sind. Einer solchen Anmerkung kommt jedoch nur deklaratorische Bedeutung zu (Meier-Hayoz, a.a.O., N 81 und 82 zu Art. 680; BGE 111 Ia 182 E. 4). Entgegen der Meinung der Berufungskläger kann die Anmer- kung einer öffentlich-rechtlichen Eigentumsbeschränkung nicht gleichzeitig die Be- gründung einer privatrechtlichen Dienstbarkeit bewirken. c. Die Berufungskläger behaupten schliesslich, die "Ummöblierung" des Bahnhofbereichs F durch die 4. Änderung des GÜP schaffe keine neue Rechtsord- nung - Verträge würden deshalb nicht ungültig. Das ist ein Irrtum. Neues Recht ist genau das, was der GÜP 2002 in Bezug auf den strittigen Bereich der Parzelle 1404 schuf. Die rein öffentlich-rechtliche Wirkungen zeitigende Vereinbarung zwischen den Parteien vom 6. Juli 1988 konnte und kann dies nicht hindern, da sie zwar ma- teriell durch Überführung in den GÜP erfüllt war, als solche indessen mit dem GÜP unter Abänderungsvorbehalt stand, was dem klägerischen Rechtsvertreter bekannt war (act. 0.2.III.15 S. 2 Ziff. 1).</w:t>
      </w:r>
    </w:p>
    <w:p>
      <w:r>
        <w:rPr>
          <w:b/>
        </w:rPr>
        <w:t>E. 26</w:t>
      </w:r>
    </w:p>
    <w:p>
      <w:r>
        <w:t>5. Die Kläger machen geltend, durch den GÜP 2002 (4. Abänderung des Plans) sei das Gebäude F2 näher an die Q.-Strasse herangerückt, etwas nach Sü- den verschoben und in der Form zwecks Anpassung an die durch die Beibehaltung der Arosabahn bedingten örtlichen Verhältnisse im Grundriss leicht verändert wor- den. Gemäss ihrem Sinn und Zweck müsse die Vereinbarung vom 6. Juli 1988 die- sen neuen Gegebenheiten angepasst und die Lage des Baufensters dementspre- chend neu festgelegt werden. Nach dem vorstehend ausgelegten Vereinbarungsin- halt wurde die Vereinbarung mit dem Einspracherückzug und mit der behördlichen Genehmigung des geänderten GÜP 1988 gegenseitig vollkommen erfüllt. Da sie keine weiteren (privatrechtlichen) Wirkungen entfaltete, ist eine Anpassung fehlen- der privatrechtlicher Wirkungen an veränderte Verhältnisse im Sinne der clausula rebus sic stantibus von vornherein ausgeschlossen. Im Übrigen stellt die 4. Ände- rung des GÜP (2002), mit welcher die zulässige Höhenkote um 2.90 Meter auf 602.40 m.ü.M. angehoben wurde, keine unvorhersehbare Verhältnisänderung dar. Damit musste angesichts von Art. 32 der Quartierplanbestimmungen gerechnet werden. 6. Ergibt sich durch Auslegung der Vereinbarung vom 6. Juli 1988, dass derselben kein übereinstimmender privatrechtlicher Inhalt im Sinne einer Bauhöhenbeschränkung gemäss Art. 730 ff. ZGB zugeschrieben werden kann, erü- brigt sich, die Fragen der Verjährung einer bloss obligatorisch vereinbarten Bauhöhenbeschränkung und der Verjährung des Anspruchs auf Eintragung einer Grunddienstbarkeit in das Grundbuch zu prüfen. 7.a. Wird die Berufung von AX., BX. und CX. in allen Teilen abgewiesen, tragen sie die gesamten Verfahrenskosten (Art. 223 ZPO in Verbindung mit Art. 122 Abs. 1 ZPO), welche in Anwendung von Art. 5 lit. a (Gerichtsgebühr) und Art. 8 Abs. 1 (Schreibgebühr Fr. 15.— pro Urteilsseite) des Kostentarifs im Zivilverfahren auf Fr. 6'935.— (Gerichtsgebühr Fr. 5'000.—, Streitwertzuschlag Fr. 1'500.—, Schreib- gebühr Fr. 435.—) festzusetzen sind. b. Gemäss Art. 122 Abs. 2 ZPO haben die unterlegenen Berufungskläger ausserdem nach dem gleichem Grundsatz die vollständig obsiegende Berufungs- beklagte für deren notwendigen Umtriebe im Berufungsverfahren voll zu entschädi- gen. Eine Honorarnote für seine Aufwendungen im Berufungsverfahren hat der Rechtsvertreter der Berufungsbeklagten nicht eingereicht, so dass die Zivilkammer die Prozessentschädigung nach pflichtgemässem Ermessen durch Schätzung, un- ter Berücksichtigung der tatsächlich getätigten und für eine sachgerechte Rechts-</w:t>
      </w:r>
    </w:p>
    <w:p>
      <w:r>
        <w:rPr>
          <w:b/>
        </w:rPr>
        <w:t>E. 27</w:t>
      </w:r>
    </w:p>
    <w:p>
      <w:r>
        <w:t>vertretung notwendigen Aufwendungen festsetzt. Ein mündlicher Vortritt fand nicht statt. Der effektiv getätigte Aufwand für die Berufungsantwort war angesichts des 4- seitigen Schriftsatzes, vergleichsweise gering. Eine Verfahrensentschädigung von 1'000 Franken (inklusive MWST) erscheint unter diesen Umständen als angemes- sen. c. Die bündnerische ZPO enthält hinsichtlich der Verteilung von Ge- richtskosten und Prozessentschädigung an die Gegenpartei auf unterliegende Streitgenossen keine ausdrücklichen Vorschriften. Es ist jedoch allgemein aner- kannt, dass das Gericht sowohl bei notwendigen als auch bei einfachen Streitge- nossenschaften im Urteil solidarische Verpflichtung hinsichtlich der Gerichtskosten und/oder der Prozessentschädigungen anordnen kann (Guldener, Schweizerisches Zivilprozessrecht, Zürich 1979, S. 407, Frank/Sträuli/Messmer, a.a.O., N 2 zu § 70; Leuch/Marbach/Kellerhals/Sterchi, Die ZPO für den Kanton Bern, Bern 2000, N 1 zu Art. 61). Diese Lösung erscheint hier für die amtlichen Kosten schon deshalb vorgezeichnet, weil von den Berufungsklägern nur ein gesamthafter Gerichtskos- tenvorschuss, für alle haftend, eingeholt und von ihnen auch als solcher bezahlt wurde (act. 03). Sie ist indessen auch für die Prozessentschädigung anzuordnen, und den Streitgenossen die interne Ausmarchung betreffend Verursachung des gegnerischen Prozessschadens zu überlassen.</w:t>
      </w:r>
    </w:p>
    <w:p>
      <w:r>
        <w:rPr>
          <w:b/>
        </w:rPr>
        <w:t>E. 28</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