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88 vom 15. März 2005</w:t>
      </w:r>
    </w:p>
    <w:p>
      <w:r>
        <w:t>GR Gerichte, 2005-03-15, DE</w:t>
      </w:r>
    </w:p>
    <w:p>
      <w:r>
        <w:rPr>
          <w:b/>
        </w:rPr>
        <w:t xml:space="preserve">Quelle: </w:t>
      </w:r>
      <w:r>
        <w:t>https://mcp.opencaselaw.ch/entscheid/gr_gerichte_ZF_2004_88</w:t>
      </w:r>
    </w:p>
    <w:p>
      <w:r>
        <w:t>FR: GR_GERICHTE ZF 2004 88 du 15 mars 2005</w:t>
      </w:r>
    </w:p>
    <w:p>
      <w:r>
        <w:t>IT: GR_GERICHTE ZF 2004 88 del 15 marzo 2005</w:t>
      </w:r>
    </w:p>
    <w:p>
      <w:pPr>
        <w:pStyle w:val="Heading2"/>
      </w:pPr>
      <w:r>
        <w:t>Regeste</w:t>
      </w:r>
    </w:p>
    <w:p>
      <w:r>
        <w:t>Forderung | OR Übrige Fälle</w:t>
      </w:r>
    </w:p>
    <w:p>
      <w:pPr>
        <w:pStyle w:val="Heading2"/>
      </w:pPr>
      <w:r>
        <w:t>Erwägungen</w:t>
      </w:r>
    </w:p>
    <w:p>
      <w:r>
        <w:rPr>
          <w:b/>
        </w:rPr>
        <w:t>E. 12</w:t>
      </w:r>
    </w:p>
    <w:p>
      <w:r>
        <w:t>fen und in noch fernerer Zukunft (in einem zu regelnden Zeitpunkt) enden würde. Auch dies spricht deutlich für einen Konnex zwischen Art. 2 Abs. 3 und Art. 1 der Vereinbarung vom 04. Februar 1957. Hiergegen wurde denn auch im Berufungs- verfahren von Seiten der Beklagten nichts Stichhaltiges vorgebracht. – Den wei- teren Auslegungsschritten gemäss angefochtenem Urteil zur massgeblichen Ver- tragsbestimmung vermag sich die Zivilkammer hingegen, wie im Folgenden zu zeigen sein wird, nicht mehr anzuschliessen. Wird in einer Vereinbarung, wie sie am 04. Februar 1957 zwischen den Q. und der Y. abgeschlossen wurde, für das Erlöschen der rechtsgeschäftlichen Bin- dung ausdrücklich ein nach Tag, Monat und Jahr konkretisierter Termin festgehal- ten und bezieht sich diese Abmachung nach dem oben Ausgeführten auf ein im Vertrag näher ausgestaltetes Dauerschuldverhältnis, steht grundsätzlich mit aller nur wünschbaren Klarheit fest, bis zu welchem Zeitpunkt den sich daraus erge- benden Verpflichtungen (umfassend anfänglich das Liefern von Energie und später gestützt auf die Zusatzvereinbarung vom 07. April 1959 das Erbringen mo- natlicher Zahlungen) nachzukommen sein würde, bis zum 06. Mai 2006 also. Dass sich die Parteien entgegen dieser an sich unmissverständlichen zeitlichen Fixie- rung auf ein anderes (früheres) Auslaufdatum geeinigt haben könnten, erscheint von vornherein völlig unwahrscheinlich und darf denn auch aufgrund der übrigen Umstände der Vertragsschliessung ohne weiteres verneint werden. So wird der von der Beklagten angerufene und vom Bezirksgericht V. als massgeblich über- nommene Endtermin des 06. Mai 2001 in den bei den Akten befindlichen bewei- stauglichen Urkunden nirgends auch nur andeutungsweise erwähnt; ein Vorgang, zu dem es mit Sicherheit nicht gekommen wäre, wenn sich die geschäftskundigen Verhandlungspartner, die ja wie gesehen ihre gegenseitige Bindung durch ein ge- naues Datum begrenzten, statt auf den tatsächlich angegebenen auf einen abwei- chenden Termin hätten festlegen wollen. Es fehlt in diesem Zusammenhang ins- besondere auch an brauchbaren Anhaltspunkten, welche den Schluss erlauben würden, dass das Datum des 06. Mai 2006 unbemerkt in einen (frühen) Vertrags- entwurf Aufnahme gefunden habe (gleichsam hineingeschmuggelt worden sei) und dass ihm die Beteiligten fortan keine Aufmerksamkeit mehr geschenkt hätten, was erkläre, dass später eine Berichtigung unterblieben sei. Hiervon kann keine Rede sein. Der Zeitpunkt, bis zu dem die vereinbarten Abgeltungsleistungen zu erbringen sein würden, bildete vielmehr Gegenstand längerer Verhandlungen in- nerhalb des für die Gründung der Y. gebildeten Konsortiums. Dabei mussten sich dessen Mitglieder im Klaren sein – und sie waren es offenkundig auch, wie etwa</w:t>
      </w:r>
    </w:p>
    <w:p>
      <w:r>
        <w:rPr>
          <w:b/>
        </w:rPr>
        <w:t>E. 13</w:t>
      </w:r>
    </w:p>
    <w:p>
      <w:r>
        <w:t>der Verlauf der Sitzung vom 17. Mai 1955 zeigt –, dass die dem Konsortium eben- falls angehörenden Q. in der Frage der Abgeltung des Wasserentzuges beim Kraftwerk W. nicht die gleichen Ziele verfolgten wie die in Gründung stehende Ge- sellschaft. Es lag also in erster Linie an den übrigen Mitgliedern dieses Gremiums, gestützt auf die vorhandenen und allenfalls noch zu beschaffenden Entschei- dungsgrundlagen für einen billigen Interessenausgleich zu sorgen. Zusammen mit der Einladung zur genannten Sitzung vom 17. Mai 1955 war den Ausschussmit- gliedern ein Entwurf für die mit den Q. abzuschliessende Entschädigungsverein- barung zugestellt worden, worin ausdrücklich festgehalten wurde, dass der Ver- trag von unbestimmter Dauer sein solle. Dem erwuchs insoweit Widerstand, als geltend gemacht wurde, die Q. hätten wohl Anspruch auf völlige Abgeltung der ihnen erwachsenden Nachteile; entsprechende Leistungen seien jedoch nicht län- ger als bis zum Ablauf der der Gesellschaft verbleibenden Wasserrechtskonzes- sion zu erbringen. Darauf angesprochen, wann dies sein werde, soll der Vertreter der Q. (Direktor E.) laut Protokoll geantwortet haben, dass die Konzession für das bestehende und ein allfälliges neues Kraftwerk am V. im Jahre 1920 für die Dauer von 80 Jahren ab Inbetriebsetzung des neuen Werkes erteilt worden sei, längs- tens aber für 85 Jahre seit der Genehmigung des Verleihungsvertrages durch den Kleinen Rat. Da die Genehmigung im Jahre 1921 erfolgt sei, laufe die Konzession demnach bis zum Jahre 2006. In der Folge wurde beschlossen, den Sitzungsteil- nehmern nebst dem Protokoll auch eine Abschrift des erwähnten, von der Regie- rung am 07. Mai 1921 genehmigten Verleihungsvertrages zwischen der Gemeinde W. und den Q. vom 25. Oktober 1920 zuzustellen. Ausserdem wurde eine kleinere Kommission eingesetzt, welche die anstehenden vertraglichen Regelungen (und damit auch die umstritten gebliebene Abgeltungsfrage) weiter bearbeiten sollte. Angesichts des sich abzeichnenden Scheiterns der Bemühungen der Q., eine ent- sprechende Vereinbarung mit unbestimmter Dauer zu erreichen – ein in diesem Punkt unverändert gelassener Vertragsentwurf vom Oktober 1955 sollte wiederum keine Billigung finden –, stand nach dem Verlauf der Sitzung vom 17. Mai 1955 nunmehr also ein verhandelbarer Vorschlag im Raum, den Nachteilsausgleich, auf den die Q. Anspruch hatten, wenigstens bis zum Jahre 2006 (genauer bis zu des- sen 06. Mai) zu erbringen, bis zu jenem Zeitpunkt also, in welchem die Konzession der Gemeinde W. spätestens untergehen würde (bei Realisierung eines neuen Werkes mit Inbetriebnahme am 07. Mai 1926 oder später). Daneben blieben Lö- sungen denkbar, welche von den Q. im Vergleich zu ihren ursprünglichen Vorstel- lungen noch weit grössere Zugeständnisse verlangt hätten, ein Abstellen etwa auf den 07. April 1999, dem Zeitpunkt des Auslaufens der Konzessionen der Gemein-</w:t>
      </w:r>
    </w:p>
    <w:p>
      <w:r>
        <w:rPr>
          <w:b/>
        </w:rPr>
        <w:t>E. 14</w:t>
      </w:r>
    </w:p>
    <w:p>
      <w:r>
        <w:t>den U. und T., oder aber auf den 06. Mai 2001, an dem die Konzession der Ge- meinde W. bei Verzicht auf ein neues Werk erlöschen würde. Solches fand indes- sen keinen Niederschlag in den innerhalb der Spezialkommission und des Kon- sortiumsausschusses erarbeiteten bzw. besprochenen Grundlagen. Der Entwurf vom Februar 1956 enthielt vielmehr zur Frage der Gültigkeitsdauer der vorgese- henen Vereinbarung die heute interessierende Formulierung: „Dieser Vertrag er- lischt mit dem Ablauf der Wasserrechtsverleihungen für das KW (Kraftwerk) W. der RW (Q.) am 6. Mai des Jahres 2006. Angesichts der Vorgeschichte gab der Hinweis auf das Erlöschen der Konzessionen für das Werk W. zusätzlich zur Nen- nung eines eindeutigen Datums für das Ende der vertraglichen Bindung Auf- schluss darüber, welchen sachlichen Bezug die Zeitangabe habe, während um- gekehrt die Ergänzung des genannten Textes durch ein konkretes Datum der Auf- hellung diente, bis zu welchem Termin angesichts verschiedener denkbarer An- knüpfungspunkte die Abgeltungsleistungen erbracht werden müssten. Insoweit er- scheint die Bestimmung weder unklar noch widersprüchlich. Sie wurde in der Folge denn auch von keiner Seite in Frage gestellt, sondern durchlief als massge- blicher Vertragstext den sich über Monate (Mai – Oktober 1956) erstreckenden Genehmigungsprozess bei den einzelnen Konsortiumsmitgliedern. Auch nach der Gründung der Y. im Dezember 1956 wurde die Klausel mit dem Datum des 06. Mai 2006 innerhalb dieser Gesellschaft nicht einfach unbesehen hingenommen, sondern sie fand im Genehmigungsantrag vom 21. Januar 1957 an die Mitglieder des Verwaltungsrates ausdrücklich Erwähnung. Gleiches gilt für ein Schreiben der Y. vom 09. Mai 1958 an die Q., als im Rahmen der Anpassung des Vertrages vom 04. Februar 1957 der Ist-Zustand noch einmal festgehalten wurde. All dies spricht dafür, dass sich die Parteien in Art. 2 Abs. 3 dieser Vereinbarung auf den 06. Mai 2006 als jenen Zeitpunkt verständigt haben, an welchem das von ihnen eingegan- gene Dauerschuldverhältnis auslaufen würde. Was hiergegen noch vorgebracht wird, ist einmal eine unzulässige Berufung auf die Unklarheitsregel. Abgesehen davon, dass darüber, welche Bedeutung der genannten Vertragsbestimmung zu- kommt, nach dem Gesagten gar keine ernsthaften Zweifel bestehen, bildet sie ohnehin das Ergebnis längerer Beratungen innerhalb des Gründerkonsortiums. Es darf ihr deshalb nicht einfach ein für eines dessen Mitglieder ungünstiger Inhalt gegeben werden (vgl. GAUCH/ SCHLUEP/SCHMID/REY, a. a. O., Rz. 1232). Die weiteren Rügen schliesslich laufen auf eine Vermengung der Frage des Konsenses mit jener der Anfechtung eines Vertrages wegen Irrtums hinaus, oder erschöpfen sich in Ausführungen, welche möglicherweise von Belang gewesen wären, wenn das Datum des 06. Mai 2006</w:t>
      </w:r>
    </w:p>
    <w:p>
      <w:r>
        <w:rPr>
          <w:b/>
        </w:rPr>
        <w:t>E. 15</w:t>
      </w:r>
    </w:p>
    <w:p>
      <w:r>
        <w:t>weder in den Vertragsentwürfen noch in der Endfassung der Vereinbarung irgend- wie in Erscheinung getreten wäre. 4. Vorprozessual (siehe vor allem ihr Schreiben vom 13. Januar 1964) hatte die Y. noch geltend gemacht, der im Vertrag vom 04. Februar 1957 ange- führte und in der Zusatzvereinbarung vom 07. April 1959 bekräftigte Termin des 06. Mai 2006, der das Ende der rechtsgeschäftlichen Bindung zu den Q. mit dem Auslaufen von Wasserrechtsverleihungen verknüpfe, lasse ausser Acht, dass Konzessionen für den Betrieb eines bestehenden Kraftwerkes höchstens für die Dauer von 80 und nicht von 85 Jahren seit der Genehmigung des Verleihungsver- trages durch die Regierung erteilt werden könnten. Darin liege eine Verletzung von Bundesrecht, die zur Nichtigkeit der betreffenden Abrede führe. Da die Par- teien jedoch, wenn sie sich dessen bewusst gewesen wären, ihre Abmachungen in Einklang mit den gesetzlichen Vorgaben gebracht hätten, bleibe die Abgeltungs- regelung für beide verbindlich, nunmehr allerdings mit dem modifizierten Erlö- schungsdatum des 06. Mai 2001. Darauf scheinen jedenfalls die seinerzeitigen Ausführungen der heutigen Beklagten abgezielt zu haben. Daraus vermöchte sie freilich selbst dann nichts zu ihren Gunsten herzuleiten, wenn sie sich im laufen- den Verfahren, was sie aber gerade nicht getan hat, auf ihre frühere Erklärung berufen hätte. Abgesehen davon, dass damals die sinngemäss aufgestellte Be- hauptung, die Q. hätten auch zu einer für sie deutlich unvorteilhafteren Überein- kunft Hand geboten, durch nichts erhärtet wurde, kann von Nichtigkeit oder Teil- nichtigkeit der genannten Verträge von 1957 und 1959 ohnehin keine Rede sein. In diesen zwischen zwei Privatrechtssubjekten abgeschlossenen Vereinbarungen ging es gar nicht um die vom öffentlichen Recht beherrschte Einräumung einer Wasserrechtskonzession, sondern einzig darum, Art, Umfang und Dauer der Leis- tungen festzulegen, welche die Q. für den Wasserentzug beim Kraftwerk W. schadlos halten sollten. In diesem Bereich waren die Parteien aber grundsätzlich frei, wie sie ihre gegenseitigen Rechte und Pflichten ausgestalten wollten. Insbe- sondere war es ihnen unbenommen, das Liefern von Gratisenergie oder das Er- bringen von Abgeltungszahlungen bis zu einem beliebigen Zeitpunkt vorzusehen, unbesehen des Umstandes, ob er dannzumal auch tatsächlich mit dem Ablaufda- tum einer konkreten Konzession zusammenfallen werde. Die Wasserrechtsge- setzgebung setzte ihnen hier keine verbindlichen Schranken.</w:t>
      </w:r>
    </w:p>
    <w:p>
      <w:r>
        <w:rPr>
          <w:b/>
        </w:rPr>
        <w:t>E. 16</w:t>
      </w:r>
    </w:p>
    <w:p>
      <w:r>
        <w:t>In ihrem Schreiben vom 13. Januar 1964 brachte die Y. schliesslich auch noch vor, sie sei bei der gemeinsamen Festlegung des Zeitpunkts, bis zu welchem die Schadloshaltung der Q. zu erfolgen habe, im Vertrag vom 04. Februar 1957 und bei dessen Bestätigung im Zusatz vom 07. April 1959 insoweit einem Irrtum bzw. einer Täuschung erlegen sei, als sie fälschlicherweise angenommen habe, dass die verbliebenen Wasserrechtsverleihungen für das Kraftwerk W. (der mass- gebende Anknüpfungspunkt) erst am 06. Mai 2006 und nicht bereits am 06. Mai 2001 auslaufen würden. Gestützt darauf vermag sich indessen die Beklagte ihrer Verpflichtung, die von ihr in den genannten Vereinbarungen versprochenen Leis- tungen während deren ganzen Gültigkeitsdauer zu erbringen, wiederum nicht zu entziehen, schon deshalb nicht, weil es in den Rechtsschriften des laufenden Pro- zesses an genügenden Behauptungen zu den angeblichen Willensmängeln fehlt. 5. Nach dem Gesagten steht also fest, dass die Y. verpflichtet ist, der Z. die mit deren Rechtsvorgängerin vereinbarten, an die Stelle der ursprünglichen Energielieferungen getretenen Monatstreffnisse zur Abgeltung des Wasserentzu- ges beim Kraftwerk W. über den 06. Mai 2001 hinaus zu entrichten, grundsätzlich bis zum 06. Mai 2006, wobei sich die Klägerin im laufenden Verfahren darauf be- schränkte, vorerst die bis zum 16. Oktober 2002 zur Zahlung fällig gewordenen Beträge einzufordern. Für den Fall, dass der Sachrichter den von der Beklagten bestrittenen Anspruch dem Grundsatz nach anerkennen sollte, sind sich die Par- teien wenigstens über die finanziellen Auswirkungen eines solchen Entscheides einig. Für den massgeblichen Zeitraum (07. Mai 2001 – 30. September 2002) hat die Y. demzufolge der Z. insgesamt den geltend gemachten Betrag von Fr. 1'733'223.35 zu bezahlen, zuzüglich 5 % Zins auf den im Rechtsbegehren ange- führten Teilbeträgen, und zwar ab den dort jeweils genannten Zeitpunkten. Dies führt zur Gutheissung der Berufung, zur Aufhebung des angefochte- nen Urteils und in Gutheissung der Klage zur Verpflichtung der Y., die Z. im be- schriebenen Umfang schadlos zu halten. 6. Nachdem die Z. mit ihren Begehren vor Bezirksgericht V. noch ohne jeden Erfolg geblieben war, erreichte sie nunmehr mit ihrer Berufung gegen den Widerstand der Y. die Aufhebung des angefochtenen Urteils sowie die Gutheis- sung der von ihr angestrengten Klage. Bei dieser Sachlage ist es gemäss Art. 122 Abs. 1 ZPO angezeigt, die Kosten der Vermittlung von Fr. 147.00, jene des Be-</w:t>
      </w:r>
    </w:p>
    <w:p>
      <w:r>
        <w:rPr>
          <w:b/>
        </w:rPr>
        <w:t>E. 17</w:t>
      </w:r>
    </w:p>
    <w:p>
      <w:r>
        <w:t>zirksgerichtes V. von Fr. 46'540.00 sowie jene des Weiterzugsverfahrens vollum- fänglich der Beklagten und Berufungsbeklagten zu überbinden. Angesichts der Bedeutung der Streitsache, der zu bewältigenden tatsächlichen und rechtlichen Schwierigkeiten sowie des damit verbundenen prozessualen Aufwandes wird die von der Berufungsinstanz zu erhebende Gerichtsgebühr auf Fr. 12'000.00 festge- legt (Art. 5 lit. a des Kostentarifs im Zivilverfahren). Hinzu kommt nebst einer Schreibgebühr von Fr. 300.00 (Art. 8 Abs. 1 des Kostentarifs im Zivilverfahren) ein Streitwertzuschlag von Fr. 8000.00, das sind nicht ganz 0.5 % des eingeklagten und vor der Zivilkammer noch strittigen Forderungsbetrages (Art. 7 Abs. 1 des Kostentarifs im Zivilverfahren). Als unterliegende Partei ist die Y. nach Art. 122 Abs. 2 ZPO überdies ge- halten, der Z. für die Verfahren vor dem Kreispräsidium W., dem Bezirksgericht V. und der Zivilkammer des Kantonsgerichtes eine angemessene Umtriebsentschä- digung zu bezahlen. Sie wird in Beachtung der Honoraransätze des Bündneri- schen Anwaltsverbandes auf Fr. 112'304.30 festgelegt, wovon Fr. 91'341.65 auf das erstinstanzliche und Fr. 20'962.65 auf das zweitinstanzliche Verfahren entfal- len. Dass eine derartige Entschädigung keineswegs übersetzt ist, erhellt auch dar- aus, dass die vor Bezirksgericht V. noch obsiegende Beklagte ihrerseits allein für das erstinstanzliche Verfahren einen Betrag von Fr. 118'236.60 geltend gemacht und zugesprochen erhalten hat.</w:t>
      </w:r>
    </w:p>
    <w:p>
      <w:r>
        <w:rPr>
          <w:b/>
        </w:rPr>
        <w:t>E. 18</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