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ZB 2004 35 vom 6. Oktober 2004</w:t>
      </w:r>
    </w:p>
    <w:p>
      <w:r>
        <w:t>GR Gerichte, 2004-10-06, DE</w:t>
      </w:r>
    </w:p>
    <w:p>
      <w:r>
        <w:rPr>
          <w:b/>
        </w:rPr>
        <w:t xml:space="preserve">Quelle: </w:t>
      </w:r>
      <w:r>
        <w:t>https://mcp.opencaselaw.ch/entscheid/gr_gerichte_ZB_2004_35</w:t>
      </w:r>
    </w:p>
    <w:p>
      <w:r>
        <w:t>FR: GR_GERICHTE ZB 2004 35 du 6 octobre 2004</w:t>
      </w:r>
    </w:p>
    <w:p>
      <w:r>
        <w:t>IT: GR_GERICHTE ZB 2004 35 del 6 ottobre 2004</w:t>
      </w:r>
    </w:p>
    <w:p>
      <w:pPr>
        <w:pStyle w:val="Heading2"/>
      </w:pPr>
      <w:r>
        <w:t>Regeste</w:t>
      </w:r>
    </w:p>
    <w:p>
      <w:r>
        <w:t>unentgeltliche Rechtspflege | Prozessrecht 232 Ziff. 1-8 ZPO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 Z., die zur Stellungnahme aufgeforderte worden war, liess am</w:t>
      </w:r>
    </w:p>
    <w:p>
      <w:r>
        <w:rPr>
          <w:b/>
        </w:rPr>
        <w:t>E. 7</w:t>
      </w:r>
    </w:p>
    <w:p>
      <w:r>
        <w:t>Am 28. Juni 2004 reichte A. Z. ihre Stellungnahme ein. C. 1. Mit Verfügung vom 20. Juli 2004, mitgeteilt am 21. Juli 2004, er- kannte der Bezirksgerichtspräsident Plessur: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