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2005 9 vom 14. Dezember 2005</w:t>
      </w:r>
    </w:p>
    <w:p>
      <w:r>
        <w:t>GR Gerichte, 2005-12-14, DE</w:t>
      </w:r>
    </w:p>
    <w:p>
      <w:r>
        <w:rPr>
          <w:b/>
        </w:rPr>
        <w:t xml:space="preserve">Quelle: </w:t>
      </w:r>
      <w:r>
        <w:t>https://mcp.opencaselaw.ch/entscheid/gr_gerichte_VB_2005_9</w:t>
      </w:r>
    </w:p>
    <w:p>
      <w:r>
        <w:t>FR: GR_GERICHTE VB 2005 9 du 14 décembre 2005</w:t>
      </w:r>
    </w:p>
    <w:p>
      <w:r>
        <w:t>IT: GR_GERICHTE VB 2005 9 del 14 dicembre 2005</w:t>
      </w:r>
    </w:p>
    <w:p>
      <w:pPr>
        <w:pStyle w:val="Heading2"/>
      </w:pPr>
      <w:r>
        <w:t>Regeste</w:t>
      </w:r>
    </w:p>
    <w:p>
      <w:r>
        <w:t>Führerausweisentzug | Öffentliche Werke-Energie-Verkehr</w:t>
      </w:r>
    </w:p>
    <w:p>
      <w:pPr>
        <w:pStyle w:val="Heading2"/>
      </w:pPr>
      <w:r>
        <w:t>Erwägungen</w:t>
      </w:r>
    </w:p>
    <w:p>
      <w:r>
        <w:rPr>
          <w:b/>
        </w:rPr>
        <w:t>E. 2</w:t>
      </w:r>
    </w:p>
    <w:p>
      <w:r>
        <w:t>SVG und bestrafte ihn mit zehn Tagen Haft, unter Gewährung des bedingten Voll- zuges, und Fr. 300.-- Busse. Mit Verfügung gleichen Datums entzog das Strassenverkehrsamt des Kan- tons Graubünden X. gestützt auf Art. 16c Abs. 1 lit. f in Verbindung mit Abs. 2 lit. a SVG den Führerausweis für alle Kategorien und Unterkategorien von Motorfahrzeu- gen für die Dauer von drei Monaten. Erlaubt wurde ihm gemäss Art. 33 VZV das Führen von Fahrzeugen der Spezialkategorien F (Motorfahrzeuge mit einer Höchst- geschwindigkeit bis 45 km/h), G (landwirtschaftliche Motorfahrzeuge) und M (Mo- torfahrräder). C. Die vom Betroffenen gegen den Führerausweisentzug erhobene Be- schwerde wies das Justiz-, Polizei- und Sanitätsdepartement Graubünden mit Ver- fügung vom 7. Oktober 2005 ab. Zur Begründung führte es im Wesentlichen an, am 1. Januar 2005 seien die Vorschriften der Änderung vom 14. Dezember 2001 des Strassenverkehrsgesetzes in Kraft getreten. Nach diesen werde beurteilt, wer nach ihrem Inkrafttreten eine Widerhandlung gegen die Strassenverkehrsvorschriften be- gehe. Der Beschwerdeführer habe vor dem 1. Januar 2005 seinen Personenwagen</w:t>
      </w:r>
    </w:p>
    <w:p>
      <w:r>
        <w:rPr>
          <w:b/>
        </w:rPr>
        <w:t>E. 3</w:t>
      </w:r>
    </w:p>
    <w:p>
      <w:r>
        <w:t>trotz Ausweisentzug geführt. Auf den konkreten Fall hätten folglich grundsätzlich die bisherigen Bestimmungen angewendet werden müssen. Da aber die geänderten Vorschriften für den Beschwerdeführer milder seien, sei vorliegend das neue Recht anzuwenden. Das Führen eines Motorfahrzeuges trotz Ausweisentzug sei eine schwere Widerhandlung. Deshalb müsse der Führerausweis für mindestens drei Monate entzogen werden. Diese Mindestdauer des Entzuges dürfe selbst bei be- ruflicher Angewiesenheit auf ein Fahrzeug nicht unterschritten werden. D. Gegen diese am 25. Oktober 2005 mitgeteilte und am 31. Oktober 2005 abgeholte Verfügung erhob X. mit Eingabe vom 18. November 2005 Berufung beim Kantonsgerichtsausschuss von Graubünden mit dem Begehren, sie aufzuhe- ben. Das kantonale Justiz-, Polizei- und Sanitätsdepartement beantragte die Ab- weisung der Berufung. Auf die Begründung des Berufungsbegehrens wird, soweit erforderlich, in den Erwägungen eingegangen. Der Kantonsgerichtsausschuss zieht in Erwägung : 1. Gegen Entscheide des Justiz-, Polizei- und Sanitätsdepartements Graubünden betreffend Administrativmassnahmen im Strassenverkehr kann der Betroffene beim Kantonsgerichtsausschuss Berufung gemäss Art. 141 ff. StPO ein- legen (Art. 19 Abs. 2 GAV zum SVG). Die Berufung ist innert 20 Tagen seit der schriftlichen Eröffnung des Entscheides beim Kantonsgerichtsausschuss, unter Bei- lage des angefochtenen Entscheides, einzureichen. Sie ist zu begründen und hat darzutun, welche Mängel des vorinstanzlichen Entscheides oder Verfahrens gerügt werden und ob die ganze Verfügung oder lediglich Teile davon angefochten werden (Art. 142 Abs. 1 StPO). Diesen Anforderungen vermag die vorliegende Berufung zu genügen. Auf sie ist daher einzutreten. 2. Die Erwägungen des Justiz-, und Polizeidepartements Graubünden zur Frage des anwendbaren Rechtes sind zutreffend und werden vom Berufungs- kläger denn auch zu Recht nicht in Frage gestellt. Diesen ist zuzustimmen, weshalb auf sie verwiesen werden kann. Weitere Ausführungen darüber erübrigen sich so- mit.</w:t>
      </w:r>
    </w:p>
    <w:p>
      <w:r>
        <w:rPr>
          <w:b/>
        </w:rPr>
        <w:t>E. 4</w:t>
      </w:r>
    </w:p>
    <w:p>
      <w:r>
        <w:t>Die Kosten des Berufungsverfahrens gehen zu Lasten des Berufungs- klägers (Art. 160 Abs. 1 StPO).</w:t>
      </w:r>
    </w:p>
    <w:p>
      <w:r>
        <w:rPr>
          <w:b/>
        </w:rPr>
        <w:t>E. 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