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2003 17 vom 14. Januar 2004</w:t>
      </w:r>
    </w:p>
    <w:p>
      <w:r>
        <w:t>GR Gerichte, 2004-01-14, DE</w:t>
      </w:r>
    </w:p>
    <w:p>
      <w:r>
        <w:rPr>
          <w:b/>
        </w:rPr>
        <w:t xml:space="preserve">Quelle: </w:t>
      </w:r>
      <w:r>
        <w:t>https://mcp.opencaselaw.ch/entscheid/gr_gerichte_VB_2003_17</w:t>
      </w:r>
    </w:p>
    <w:p>
      <w:r>
        <w:t>FR: GR_GERICHTE VB 2003 17 du 14 janvier 2004</w:t>
      </w:r>
    </w:p>
    <w:p>
      <w:r>
        <w:t>IT: GR_GERICHTE VB 2003 17 del 14 gennaio 2004</w:t>
      </w:r>
    </w:p>
    <w:p>
      <w:pPr>
        <w:pStyle w:val="Heading2"/>
      </w:pPr>
      <w:r>
        <w:t>Regeste</w:t>
      </w:r>
    </w:p>
    <w:p>
      <w:r>
        <w:t>Führerausweisentzug | Öffentliche Werke-Energie-Verkehr</w:t>
      </w:r>
    </w:p>
    <w:p>
      <w:pPr>
        <w:pStyle w:val="Heading2"/>
      </w:pPr>
      <w:r>
        <w:t>Erwägungen</w:t>
      </w:r>
    </w:p>
    <w:p>
      <w:r>
        <w:rPr>
          <w:b/>
        </w:rPr>
        <w:t>E. 2</w:t>
      </w:r>
    </w:p>
    <w:p>
      <w:r>
        <w:t>Eventuell sei die angefochtene Verfügung aufzuheben und die Sache zur Neubeurteilung und neuem Entscheid an die Vorinstanz zurückzu- weisen.</w:t>
      </w:r>
    </w:p>
    <w:p>
      <w:r>
        <w:rPr>
          <w:b/>
        </w:rPr>
        <w:t>E. 3</w:t>
      </w:r>
    </w:p>
    <w:p>
      <w:r>
        <w:t>Auf die Begründung der Anträge in den Rechtsschriften sowie auf die Erwä- gungen in der angefochtenen Verfügung wird, soweit erforderlich, im folgenden ein- gegangen. Der Kantonsgerichtsausschuss zieht in Erwägung : 1. Gegen Entscheide des Justiz-, Polizei- und Sanitätsdepartements über Administrativmassnahmen im Strassenverkehr kann der Betroffene beim Kantons- gerichtsausschuss Berufung gemäss Art. 141 ff. StPO einlegen (Art. 19 Abs. 2 der Ausführungsverordnung zum Bundesgesetz über den Strassenverkehr; GAV zum SVG). Die Berufung ist innert 20 Tagen seit der schriftlichen Eröffnung der Verfü- gung beim Kantonsgerichtsausschuss einzureichen. Sie ist zu begründen und hat darzutun, welche Mängel des vorinstanzlichen Entscheides oder Verfahrens gerügt werden (Art. 142 Abs. 1 StPO). Diesen Anforderungen vermag die vorliegende Be- rufung zu genügen. Auf sie ist daher einzutreten. 2. Der Rechtsvertreter des Berufungsklägers macht geltend, der vom Stras- senverkehrsamt verfügte und von der Vorinstanz bestätigte Führerausweisentzug sei nicht gerechtfertigt. Das Justiz-, Polizei- und Sanitätsdepartement sei zu Unrecht von einem mittelschweren Fall ausgegangen. Aufgrund der gesamten Umstände sei dem Berufungskläger lediglich ein leichtes Verschulden vorzuwerfen. Es liege demnach ein leichter Fall gemäss Art. 16 Abs. 2 Satz 2 vor, womit eine Verwarnung die einzige zulässige Massnahme darstelle. Selbst wenn das Verhalten von X. als mittelschwerer Fall beurteilt werde, müsse aus Gründen der Verhältnismässigkeit von einem Entzug des Führerausweises abgesehen werden. Entsprechend den Rü- gen des Berufungsklägers ist somit zu prüfen, ob der verfügte Führerausweisentzug gerechtfertigt ist oder ob bloss eine Verwarnung auszusprechen gewesen wäre. a) Gemäss Art. 16 Abs. 2 SVG kann der Führerausweis entzogen werden, wenn der Fahrzeugführer Verkehrsregeln verletzt und dadurch den Verkehr gefähr- det oder andere belästigt hat. In leichten Fällen kann eine Verwarnung ausgespro- chen werden. Der Ausweis muss entzogen werden, wenn der Führer den Verkehr in schwerer Weise gefährdet hat (Art. 16 Abs. 3 lit. a SVG). Das Gesetz unterschei- det mithin den leichten, den mittelschweren und den schweren Fall, wobei nach der Rechtsprechung auf den Führerausweisentzug grundsätzlich nur dann verzichtet werden kann, wenn der Fall leicht im Sinne von Art. 16 Abs. 2 Satz 2 SVG ist. Ob ein leichter Fall vorliegt, beurteilt sich nach dem Verschulden des Fahrzeuglenkers und seinem automobilistischen Leumund; die Schwere der konkreten Verkehrsge-</w:t>
      </w:r>
    </w:p>
    <w:p>
      <w:r>
        <w:rPr>
          <w:b/>
        </w:rPr>
        <w:t>E. 4</w:t>
      </w:r>
    </w:p>
    <w:p>
      <w:r>
        <w:t>fährdung ist nach der neueren Rechtsprechung des Bundesgerichts für die Frage, ob der Führerausweis zu entziehen ist, nicht unmittelbar entscheidend. Ausschlag- gebend ist vielmehr, ob sich die Anordnung einer Massnahme mit dem Ziel der Er- mahnung und Besserung angesichts des Verschuldens des Lenkers überhaupt rechtfertigen lässt und ob die Massnahme geeignet ist, im Einzelfall das Ziel zu er- reichen. Fehlt es an einem leichten Verschulden, ist die Annahme eines leichten Falles selbst dann ausgeschlossen, wenn der Fahrzeuglenker über einen langjähri- gen ungetrübten automobilistischen Leumund verfügt (vgl. BGE 126 II 358, Erw. 1 a; 126 II 202, Erw. 1 b; 126 II 192, Erw. 2 c; 125 II 561, Erw. 2 b; nicht amtl. publ. BGE vom 23. Januar 2001 [6A.106/2000], Erw. 3 b sowie nicht amtl. publ. BGE vom</w:t>
      </w:r>
    </w:p>
    <w:p>
      <w:r>
        <w:rPr>
          <w:b/>
        </w:rPr>
        <w:t>E. 6</w:t>
      </w:r>
    </w:p>
    <w:p>
      <w:r>
        <w:t>und aus der Kurve getragen wurde. Dies, obwohl der Berufungskläger Fahrlehrer ist und entsprechende Berufserfahrung hat, womit er um die aufgrund der nassen Fahrbahn und der verwendeten Breitreifen bestehende Gefahr des Aquaplaning wissen musste. Damit hat er unter Verletzung seiner elementarsten Pflichten schuldhaft gegen eine Verkehrsregel verstossen, welche für die Sicherheit im Stras- senverkehr von grundlegender Bedeutung ist (vgl. nicht amtl. publ. BGE vom 6. Juni 2003 [6A.29/2003], Erw. 3.1.2 und 3.3). Entsprechend kann das Verhalten des Be- rufungsklägers nicht mehr als leichtes Verschulden qualifiziert werden. d) Nach dem Gesagten ist somit von einem mittelschweren Verschulden des Berufungsklägers auszugehen. Auch wenn der automobilistische Leumund von X. ungetrübt ist, fällt demzufolge die Annahme eines leichten Falles und damit das Aussprechen einer blossen Verwarnung grundsätzlich ausser Betracht (vgl. BGE 128 II 282 Erw. 3; 126 II 358, Erw. 1 c). Ein Verzicht auf den Ausweisentzug kommt bei einem mittelschweren Fall nur dann in Frage, wenn der Entzug unter dem Ge- sichtspunkt der Verhältnismässigkeit nicht mehr notwendig erscheint, um das Mass- nahmeziel, die Ermahnung und Besserung zu erreichen. Dies fällt gemäss BGE 118 Ib 229 dann in Betracht, wenn besondere Umstände vorliegen, wie etwa, wenn der Betroffene aufgrund der schweren Folgen eines Unfalls schon genug „sanktioniert“ ist und der Strafrichter in Anwendung von Art. 66bis StGB von einer Bestrafung abgesehen hat (vgl. auch BGE 123 II 106, Erw. 2 b). Dass solche besonderen Um- stände im konkreten Fall gegeben sind, ist nicht ersichtlich. Der Berufungskläger wurde bei seinem Selbstunfall weder schwer verletzt, noch liegen andere Umstände vor, die auf eine besonders schwere Betroffenheit des Lenkers schliessen lassen, aufgrund derer ein Absehen von einem Ausweisentzug gerechtfertigt wäre (vgl. BGE 123 II 106, Erw. 2 b, S. 111; 118 Ib 119, Erw. 3, S. 233). X. muss zwar mit einer Einkommenseinbusse rechnen. Der von ihm geltend gemachte Verlust von Kunden kann jedoch beispielsweise durch ein Anberaumen der Ferien während der Entzugsdauer, das ohne weiteres zumutbar ist, weitgehend verhindert werden. Ent- sprechend ist nicht davon auszugehen, dass der Ausweisentzug eine Gefahr für den Fortbestand der Fahrschule darstellt. Die geschäftlichen und finanziellen Fol- gen des Führerausweisentzuges, auf die sich der Berufungskläger beruft, erschei- nen somit ebenfalls nicht derart, dass sie als besondere Umstände im Sinne der zitierten Rechtsprechung einzustufen sind. Mit der verfügten Massnahme muss der Berufungskläger mithin nicht mehr, als die damit regelmässig verbundenen Unan- nehmlichkeiten und Erschwernisse auf sich nehmen, womit der Entzug des Füh- rerausweises als verhältnismässig anzusehen ist. Dies um so mehr, als hier nicht bloss von einem entschuldbaren Missgeschick oder einer geringfügigen Unauf-</w:t>
      </w:r>
    </w:p>
    <w:p>
      <w:r>
        <w:rPr>
          <w:b/>
        </w:rPr>
        <w:t>E. 7</w:t>
      </w:r>
    </w:p>
    <w:p>
      <w:r>
        <w:t>merksamkeit gesprochen werden kann, sondern X. sein Fahrverhalten schuldhaft nicht den Umständen angepasst hat und der Ausweisentzug folglich durchaus ge- eignet erscheint, auf den Berufungskläger eine warnende und bessernde Wirkung auszuüben. e) Zusammenfassend erweist sich der seitens des Strassenverkehrsamtes ausgesprochene und durch das Justiz-, Polizei- und Sanitätsdepartement bestätigte Führerausweisentzug somit als verhältnismässig. Die Feststellung des Strassenver- kehrsamtes, die von X. begangene Verkehrsregelverletzung erfülle die Vorausset- zungen von Art. 16 Abs. 2 Satz 1 SVG, lässt sich in keiner Weise beanstanden. Die Dauer des Entzugs haben die Administrativbehörden auf das gesetzliche Mindest- mass festgesetzt (Art 17 Abs. 1 lit. a SVG). Gemäss ständiger Rechtsprechung rechtfertigt die berufliche Angewiesenheit auf ein Fahrzeug die Unterschreitung der gesetzlichen Mindestentzugsdauer nicht (vgl. BGE 128 II 282, Erw. 3.5 sowie nicht amtl. publ. BGE vom 6. Juni 2003 [6A.29/2003]). Weitere Ausführungen zum dies- bezüglichen Einwand des Beschwerdeführers erübrigen sich deshalb. Im Ergebnis steht demzufolge fest, dass das Justiz-, Polizei- und Sanitätsde- partement die Beschwerde von X. gegen den vom Strassenverkehrsamt Graubün- den ihm gegenüber gestützt auf Art. 16 Abs. 2 Satz 1 SVG in Verbindung mit Art. 17 Abs. 1 lit. a SVG verfügten Entzug des Führerausweises für die Dauer von einem Monat zu Recht abgewiesen hat. Die gegen den Entscheid der Vorinstanz erhobene Berufung ist demnach unbegründet und muss abgewiesen werden. 3. Bei diesem Ausgang gehen die Kosten des Berufungsverfahrens vor Kan- tonsgerichtsausschuss zu Lasten des Berufungsklägers (Art. 160 Abs. 1 StPO).</w:t>
      </w:r>
    </w:p>
    <w:p>
      <w:r>
        <w:rPr>
          <w:b/>
        </w:rPr>
        <w:t>E. 8</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