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2008 3 vom 4. März 2008</w:t>
      </w:r>
    </w:p>
    <w:p>
      <w:r>
        <w:t>GR Gerichte, 2008-03-04, DE</w:t>
      </w:r>
    </w:p>
    <w:p>
      <w:r>
        <w:rPr>
          <w:b/>
        </w:rPr>
        <w:t xml:space="preserve">Quelle: </w:t>
      </w:r>
      <w:r>
        <w:t>https://mcp.opencaselaw.ch/entscheid/gr_gerichte_U_2008_3</w:t>
      </w:r>
    </w:p>
    <w:p>
      <w:r>
        <w:t>FR: GR_GERICHTE U 2008 3 du 4 mars 2008</w:t>
      </w:r>
    </w:p>
    <w:p>
      <w:r>
        <w:t>IT: GR_GERICHTE U 2008 3 del 4 marzo 2008</w:t>
      </w:r>
    </w:p>
    <w:p>
      <w:pPr>
        <w:pStyle w:val="Heading2"/>
      </w:pPr>
      <w:r>
        <w:t>Regeste</w:t>
      </w:r>
    </w:p>
    <w:p>
      <w:r>
        <w:t>Familiennachzug | Fremdenpolizei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Kanton Graubünden (DJSG) entschädigt … aussergerichtlich mit Fr. 997.50 (inkl. MWST).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