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6 vom 20. November 2024</w:t>
      </w:r>
    </w:p>
    <w:p>
      <w:r>
        <w:t>GR Gerichte, 2024-11-20, DE</w:t>
      </w:r>
    </w:p>
    <w:p>
      <w:r>
        <w:rPr>
          <w:b/>
        </w:rPr>
        <w:t xml:space="preserve">Quelle: </w:t>
      </w:r>
      <w:r>
        <w:t>https://mcp.opencaselaw.ch/entscheid/gr_gerichte_S_2024_6</w:t>
      </w:r>
    </w:p>
    <w:p>
      <w:r>
        <w:t>FR: GR_GERICHTE S 2024 6 du 20 novembre 2024</w:t>
      </w:r>
    </w:p>
    <w:p>
      <w:r>
        <w:t>IT: GR_GERICHTE S 2024 6 del 20 novembre 2024</w:t>
      </w:r>
    </w:p>
    <w:p>
      <w:pPr>
        <w:pStyle w:val="Heading2"/>
      </w:pPr>
      <w:r>
        <w:t>Regeste</w:t>
      </w:r>
    </w:p>
    <w:p>
      <w:r>
        <w:t>Versicherungsleistungen nach UVG | Unfallversicherung</w:t>
      </w:r>
    </w:p>
    <w:p>
      <w:pPr>
        <w:pStyle w:val="Heading2"/>
      </w:pPr>
      <w:r>
        <w:t>Erwägungen</w:t>
      </w:r>
    </w:p>
    <w:p>
      <w:r>
        <w:rPr>
          <w:b/>
        </w:rPr>
        <w:t>E. 6</w:t>
      </w:r>
    </w:p>
    <w:p>
      <w:r>
        <w:t>Aufgrund der medizinischen Aktenlage kann mit der Beschwerdegegnerin demnach davon ausgegangen werden, dass die über den 27. Juli 2023 (Datum der Leistungseinstellung) hinaus weiterbestehenden Beschwerden im Steissbeinbereich mit überwiegender Wahrscheinlichkeit nicht mehr auf das Unfallereignis vom 4. März 2022 zurückzuführen sind, mithin der natürliche Kausalzusammenhang nicht mehr gegeben ist (vgl. Erwägung 3.3. vorstehend). Somit kann nicht beanstandet werden, dass die Beschwerdegegnerin ihre Versicherungsleistungen per 27. Juli 2023 mangels eines natürlichen Kausalzusammenhangs eingestellt hat. Aus diesen Gründen erweist sich der angefochtene Einspracheentscheid vom 22. Dezember 2023 als rechtens, weshalb die dagegen erhobene Beschwerde abzuweisen ist.</w:t>
      </w:r>
    </w:p>
    <w:p>
      <w:r>
        <w:t>- 15 - 7.1.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7.2. Ein Parteikostenersatz steht der obsiegenden Beschwerdegegnerin gemäss Art. 61 lit. g ATSG nicht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