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127 vom 17. Dezember 2024</w:t>
      </w:r>
    </w:p>
    <w:p>
      <w:r>
        <w:t>GR Gerichte, 2024-12-17, DE</w:t>
      </w:r>
    </w:p>
    <w:p>
      <w:r>
        <w:rPr>
          <w:b/>
        </w:rPr>
        <w:t xml:space="preserve">Quelle: </w:t>
      </w:r>
      <w:r>
        <w:t>https://mcp.opencaselaw.ch/entscheid/gr_gerichte_S_2023_127</w:t>
      </w:r>
    </w:p>
    <w:p>
      <w:r>
        <w:t>FR: GR_GERICHTE S 2023 127 du 17 décembre 2024</w:t>
      </w:r>
    </w:p>
    <w:p>
      <w:r>
        <w:t>IT: GR_GERICHTE S 2023 127 del 17 dicembre 2024</w:t>
      </w:r>
    </w:p>
    <w:p>
      <w:pPr>
        <w:pStyle w:val="Heading2"/>
      </w:pPr>
      <w:r>
        <w:t>Regeste</w:t>
      </w:r>
    </w:p>
    <w:p>
      <w:r>
        <w:t>Versicherungsleistungen nach UVG | Unfallversicherung</w:t>
      </w:r>
    </w:p>
    <w:p>
      <w:pPr>
        <w:pStyle w:val="Heading2"/>
      </w:pPr>
      <w:r>
        <w:t>Erwägungen</w:t>
      </w:r>
    </w:p>
    <w:p>
      <w:r>
        <w:rPr>
          <w:b/>
        </w:rPr>
        <w:t>E. 18</w:t>
      </w:r>
    </w:p>
    <w:p>
      <w:r>
        <w:t>Dezember 2018 E.9.2, 9C_321/2018 vom 16. Oktober 2018 E.6.1,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der Beschwerdeführerin reichte dem Gericht am 27. Februar 2024 eine Honorarnote über CHF 5'571.60 ein (20.07 Stunden à CHF 250.-- [CHF 5'017.50] zzgl. 3 % Kleinspesenpauschale [CHF 150.50] und 7.7 % MWST auf CHF 3'745.-- [CHF 288.35] sowie 8.1 % MWST auf CHF 1'423.-- [CHF 115.25]). Der geltend gemachte Arbeitsaufwand von 20.07 Arbeitsstunden erscheint dem Gericht als angemessen und auch der geltend gemachte Stundenansatz ist üblich; eine entsprechende Honorarvereinbarung liegt im Recht. Die Beschwerdegegnerin hat der Beschwerdeführerin somit eine Parteientschädigung von CHF 5'571.60 zu bezahlen.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