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82 vom 4. April 2023</w:t>
      </w:r>
    </w:p>
    <w:p>
      <w:r>
        <w:t>GR Gerichte, 2023-04-04, IT</w:t>
      </w:r>
    </w:p>
    <w:p>
      <w:r>
        <w:rPr>
          <w:b/>
        </w:rPr>
        <w:t xml:space="preserve">Quelle: </w:t>
      </w:r>
      <w:r>
        <w:t>https://mcp.opencaselaw.ch/entscheid/gr_gerichte_S_2022_82</w:t>
      </w:r>
    </w:p>
    <w:p>
      <w:r>
        <w:t>FR: GR_GERICHTE S 2022 82 du 4 avril 2023</w:t>
      </w:r>
    </w:p>
    <w:p>
      <w:r>
        <w:t>IT: GR_GERICHTE S 2022 82 del 4 aprile 2023</w:t>
      </w:r>
    </w:p>
    <w:p>
      <w:pPr>
        <w:pStyle w:val="Heading2"/>
      </w:pPr>
      <w:r>
        <w:t>Regeste</w:t>
      </w:r>
    </w:p>
    <w:p>
      <w:r>
        <w:t>rendita AI | Invalidenversicherung</w:t>
      </w:r>
    </w:p>
    <w:p>
      <w:pPr>
        <w:pStyle w:val="Heading2"/>
      </w:pPr>
      <w:r>
        <w:t>Erwägungen</w:t>
      </w:r>
    </w:p>
    <w:p>
      <w:r>
        <w:rPr>
          <w:b/>
        </w:rPr>
        <w:t>E. 1</w:t>
      </w:r>
    </w:p>
    <w:p>
      <w:r>
        <w:t>Impugnata è la decisione del 17 giugno 2022 concernente la concessione di una rendita di invalidità a tempo determinato. Ai sensi dell'art. 69 cpv. 1 lett. a della Legge federale sull'assicurazione per l'invalidità del 19 giugno 1959 [LAI; RS 831.20] le decisioni degli uffici AI cantonali sono impugnabili direttamente dinanzi al tribunale delle assicurazioni del luogo dell'ufficio AI. La competenza per materia e per territorio del Tribunale amministrativo del Cantone dei Grigioni è data dall'art. 57 della Legge sulla parte generale del diritto delle assicurazioni sociali del 6 ottobre 2000 [LPGA; RS 830.1] e dall'art. 49 cpv. 2 lett. a della Legge sulla giustizia amministrativa del 31 agosto 2006 [LGA; CSC 370.100]. In quanto destinatario formale e materiale della decisione, il ricorrente è particolarmente toccato dalla decisione impugnata, ha un interesse degno di protezione all'annullamento o alla modifica della stessa ed è quindi legittimato a presentare ricorso (art. 1 cpv. 1 LAI in unione con l'art. 59 LPGA). Sul ricorso tempestivo e presentato nella dovuta forma può perciò essere entrato nel merito (art. 1 cpv. 1 LAI in unione con gli artt. 60 e 61 lett. b LPGA e con l'art. 38 cpv. 4 lett. a LPGA).</w:t>
      </w:r>
    </w:p>
    <w:p>
      <w:r>
        <w:t>- 11 -</w:t>
      </w:r>
    </w:p>
    <w:p>
      <w:r>
        <w:rPr>
          <w:b/>
        </w:rPr>
        <w:t>E. 2</w:t>
      </w:r>
    </w:p>
    <w:p>
      <w:r>
        <w:t>Controverso è se il ricorrente ha diritto a una rendita di invalidità a tempo indeterminato con grado di invalidità di minimo 50% a partire dal 1° novembre 2020, e a tal riguardo se il calcolo del reddito di invalidità allestito è corretto.</w:t>
      </w:r>
    </w:p>
    <w:p>
      <w:r>
        <w:rPr>
          <w:b/>
        </w:rPr>
        <w:t>E. 3</w:t>
      </w:r>
    </w:p>
    <w:p>
      <w:r>
        <w:t>Giusta l'art. 28 cpv. 1 LAI l'assicurato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 senza notevole interruzione e (c.) al termine di questo anno è invalido ai sensi dell'art. 8 LPGA almeno al 40%. Ai sensi dell'art. 29 cpv. 1 LAI il diritto alla rendita nasce al più presto dopo sei mesi dalla data in cui la persona assicurata ha rivendicato il diritto alle prestazioni conformemente all'art. 29 cpv. 1 LPGA ma al più presto a partire dal mese seguente il compimento dei 18 anni. Nell'occorrenza potrebbe dunque nascere al più presto il 1° novembre 2020, la domanda essendo stata fatta solamente l'11 maggio 2020. Secondo l'Ufficio AI la fine del periodo d'attesa di un anno sarebbe qui il 28 giugno 2020, vista la domanda tardiva e aggiungendo i sei mesi di attesa, il ricorrente potrebbe avere diritto alla rendita al più presto dal 1° novembre 2020 (vedi il Case Report pag. 3, doc. 7 ricorrente). Gli assicurati con attività lucrativa sono ritenuti invalidi se hanno un danno alla salute fisica, mentale o psichica che provoca un'incapacità al guadagno totale o parziale presumibilmente permanente o di lunga durata (art. 1 cpv. 1 LAI i.c.c. art. 8 cpv. 1 LPGA). L'invalidità può essere conseguente a infermità, congenità, malattia o infortunio (art. 4 cpv. 1 LAI). L'invalidità è considerata insorgere quando, per natura e gravità, motiva il diritto alla singola prestazione (art. 4 cpv. 2 LAI). È considerata incapacità al lavoro qualsiasi incapacità, totale o parziale, derivante da un danno alla salute fisica, mentale o psichica, di compiere un lavoro ragionevolmente</w:t>
      </w:r>
    </w:p>
    <w:p>
      <w:r>
        <w:t>- 12 - esigibile nella professione o nel campo d'attività abituale (art. 6 LPGA). È invece considerata incapacità al guadagno la perdita, totale o parziale, della possibilità di guadagno sul mercato del lavoro equilibrato che entra in considerazione, provocata anch'essa da un danno alla salute fisica, mentale o psichica e che perdura dopo aver sottoposto l'assicurato alle cure e alle misure d'integrazione ragionevolmente esigibili (art. 7 cpv. 1 - 15 -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Zurigo/Basilea/Ginevra 2020, n. 22 segg. ad art. 7 LPGA; per l'aggravamento e fenomeni simili cfr. anche DTF 141 V 281 consid. 2.2.1 seg. e la DTF 140 V 193 consid. 3.3). Tenor l'art. 28a cpv. 1 LAI per valutare il grado di invalidità di un assicurato che esercita un'attività lucrativa si applica l'art. 16 LPGA. Secondo tale disposizione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L'ammontare della perdita di guadagno determina il grado di invalidità in percentuale. Se l'assicurato non esercita un'attività professionale (o se deve esser fatta astrazione del lavoro esercitato) non è possibile raccogliere dei dati esatti ai sensi dell'art. 16 LPGA. Il grado di invalidità viene ugualmente determinato secondo il metodo abituale del raffronto dei redditi facendo capo a dei dati ipotetici e sommari. Secondo la prassi la</w:t>
      </w:r>
    </w:p>
    <w:p>
      <w:r>
        <w:t>- 13 - valutazione del medico in merito all'esigiblità, e cioè in merito alle attività che l'assicurato, tenuto conto dei suoi disturbi, è ancora in grado di effettuare, ha un ruolo primordiale. Dalla valutazione dell'esigibilità fatta dal medico risultano infatti quali attività entrano ancora in considerazione per l'assicurato malgrado le limitazioni dello stato di salute. Su tali basi deve essere valutato il reddito che l'assicurato potrebbe ancora realizzare (guadagno da invalido). Questo guadagno deve poi essere paragonato con quello che l'assicurato avrebbe ottenuto se non fosse diventato invalido (guadagno senza invalidità). Il risultato dà il grado d'invalidità (cfr. sentenza del Tribunale amministrativo del Cantone dei Grigioni S 2020 25 del 5 aprile 2022, consid. 3).</w:t>
      </w:r>
    </w:p>
    <w:p>
      <w:r>
        <w:rPr>
          <w:b/>
        </w:rPr>
        <w:t>E. 4</w:t>
      </w:r>
    </w:p>
    <w:p>
      <w:r>
        <w:t>Dapprima si ritiene quanto segue riguardo ai principi del diritto probatorio.</w:t>
      </w:r>
    </w:p>
    <w:p>
      <w:r>
        <w:rPr>
          <w:b/>
        </w:rPr>
        <w:t>E. 4.1</w:t>
      </w:r>
    </w:p>
    <w:p>
      <w:r>
        <w:t>Sia la procedura amministrativa sia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 decidere) raccogliere le prove. Nel procedimento di assicurazione sociale generalmente le parti hanno l'onere della prova solo nella misura in cui in assenza di prove la decisione va a svantaggio della parte che voleva trarre</w:t>
      </w:r>
    </w:p>
    <w:p>
      <w:r>
        <w:t>- 14 - dei diritti dai fatti non provati. Tuttavia, questa regola ha effetto soltanto se nell'ambito del principio inquisitorio si dimostra impossibile, sulla base di una valutazione delle prove, stabilire fatti che abbiano almeno la probabilità di corrispondere alla realtà (sentenza del Tribunale federale 8C_17/2017 del 4 aprile 2017 consid. 2.2 con rinvio alla DTF 138 V 218 consid. 6).</w:t>
      </w:r>
    </w:p>
    <w:p>
      <w:r>
        <w:rPr>
          <w:b/>
        </w:rPr>
        <w:t>E. 4.2</w:t>
      </w:r>
    </w:p>
    <w:p>
      <w:r>
        <w:t>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per il tutto la sentenza del Tribunale federale 8C_281/2018 del 25 giugno 2018 consid. 3.2.1). Se l'assicuratore sociale rispettivamente l'amministrazione non ottempera al suo dovere inquisitorio o lo fa solo parzialmente, la causa può essere rinviata per ulteriori accertamenti e susseguente nuovo giudizio (cfr. DTF 132 V 368 consid. 5).</w:t>
      </w:r>
    </w:p>
    <w:p>
      <w:r>
        <w:rPr>
          <w:b/>
        </w:rPr>
        <w:t>E. 4.3</w:t>
      </w:r>
    </w:p>
    <w:p>
      <w:r>
        <w:t>Per poter valutare lo stato di salute e con questo la questione di quali prestazioni lavorative possano ancora essere pretese dalla persona assicurata, l'amministrazione rispettivamente il tribunale adito in caso di ricorso dipendono da documenti che devono essere allestiti e forniti da</w:t>
      </w:r>
    </w:p>
    <w:p>
      <w:r>
        <w:t>- 15 - medici o eventualmente da altri specialisti, il cui compito consiste nel valutare lo stato di salute e di prendere posizione in merito alla misura in cui e in riferimento a quale attività l'assicurato sia incapace al lavoro. In altre parole sono chiamati a fornire referti, in base a esami medici professionali e tenendo conto dei lamenti soggettivi, e fare una diagnosi basata su questo. In tal modo il perito medico svolge il suo compito originale, per il quale l'amministrazione e il tribunale adito non sono competenti. Nella valutazione delle conseguenze dei danni alla salute costatati per la capacità lavorativa, tuttavia, gli esperti medici non hanno la competenza per esprimere un giudizio conclusivo. Piuttosto forniscono una valutazione dell'incapacità lavorativa che giustificano nel modo più sostanziale possibile dal loro punto di vista. Le informazioni fornite dai medici costituiscono quindi una base importante per la valutazione della questione di quali attività lavorative specifiche ci si può ancora aspettare che l'assicurato svolga (cfr. DTF 140 V 193 consid. 3.2, DTF 132 V 93 consid. 4 e DTF 125 V 256 consid. 4). Il medico dice in che misura il danno limita l'assicurato nelle sue funzioni fisiche rispettivamente psichiche, naturalmente si esprime soprattutto in merito a quelle funzioni che secondo la sua esperienza sono fondamentali per le possibilità lavorative e che si trovano in primo piano per l'assicurato (ad esempio se esso possa o debba lavorare stando seduto o in piedi, all'aperto o in locali riscaldati, se possa sollevare o portare carichi). Gli specialisti dell'orientamento professionale dicono per contro quali concrete attività professionali entrano in considerazione, sulla base delle indicazioni mediche ed in considerazione delle altre capacità dell'assicurato; a seconda dei casi sono necessari chiarimenti presso il medico (cfr. sentenza del Tribunale amministrativo del Cantone dei Grigioni S 2020 25 del 5 aprile 2022 consid. 4.3).</w:t>
      </w:r>
    </w:p>
    <w:p>
      <w:r>
        <w:rPr>
          <w:b/>
        </w:rPr>
        <w:t>E. 4.4</w:t>
      </w:r>
    </w:p>
    <w:p>
      <w:r>
        <w:t>Il diritto federale non prescrive come debbano essere valutate le singole prove. Il principio del libero apprezzamento delle prove si applica a tutte le</w:t>
      </w:r>
    </w:p>
    <w:p>
      <w:r>
        <w:t>- 16 -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(DTF 143 V 124 consid. 2.2.2 e DTF 125 V 351 consid. 3a). Quanto alla valenza probatoria di un rapporto medico, secondo la giurisprudenza è determinante che i punti litigiosi importanti siano stati oggetto di uno studio approfondito, che il rapporto si fondi su esami completi, che consideri parimenti i disturbi lamentati dall'assicurato, che sia stato stilato in piena conoscenza dell'incarto (anamnesi), che la descrizione del contesto medico e della situazione medica sia chiara e che le conclusioni dell'esperto siano ben motivate. Di conseguenza in linea di principio per stabilire se un rapporto medico abbia valore di prova o meno non è decisivo né l'origine né la sua denominazione, ad esempio quale perizia o rapporto (DTF 134 V 231 consid. 5.1, DTF 125 V 351 consid. 3a). La giurisprudenza ha ciononostante ritenuto compatibile con il principio del libero apprezzamento delle prove stabilire alcune direttive per la valutazione delle prove in relazione a determinate forme di attestazioni mediche (DTF 125 V 351 consid. 3b, DTF 118 V 286 consid. 1b, DTF 112 V 30 consid. 1a con rinvii).</w:t>
      </w:r>
    </w:p>
    <w:p>
      <w:r>
        <w:rPr>
          <w:b/>
        </w:rPr>
        <w:t>E. 4.5</w:t>
      </w:r>
    </w:p>
    <w:p>
      <w:r>
        <w:t>Alle perizie ottenute nell'ambito della procedura amministrativa di medici specialisti esterni che rilasciano i propri rapporti in base a indagini e osservazioni approfondite e dopo aver preso visione di tutta la documentazione medica e che nella descrizione dei loro referti giungono</w:t>
      </w:r>
    </w:p>
    <w:p>
      <w:r>
        <w:t>- 17 - a risultati concludenti va riconosciuto pieno valore probatorio nella valutazione delle prove, a meno che non sussistano indizi concreti a mettere in causa la loro attendibilità (DTF 137 V 210 consid. 1.3.4, DTF 125 V 351 consid. 3b/bb). Anche i rapporti e le perizie dei medici impiegati dall'assicurazione hanno un valore probatorio comparabile, a condizione che appaiano conclusivi, comprensibilmente motivati e privi di contraddizioni e che non vi siano indizi atti a mettere in causa la loro attendibilità (vedi DTF 137 V 210 consid. 1.2.1, sentenza del Tribunale federale 8C_839/2016 del 12 aprile 2017 consid. 3.1 seg.). Il semplice fatto che il medico interpellato sia impiegato dall'assicuratore sociale non permette di per sé di concludere a una mancanza di obiettività o a una parzialità. Piuttosto sono richieste circostanze speciali che fanno apparire oggettivamente giustificata la sfiducia nell'imparzialità della valutazione. Vista la notevole importanza delle perizie mediche nel diritto delle assicurazioni sociali, occorre però applicare uno standard rigoroso all'imparzialità del perito (cfr. per il tutto DTF 125 V 351 consid. 3b/ee, DTF 122 V 157 consid. 1c). In caso di dubbi, anche minimi, sull'affidabilità e la conclusività delle costatazioni mediche interne dell'assicuratore, devono essere fatti ulteriori accertamenti (DTF 139 V 225 consid. 5.2, DTF 135 V 465 consid. 4.3.2 e 4.4; sentenze del Tribunale federale 9C_415/2017 del 21 settembre 2017 consid. 3.2, 8C_452/2016 del 27 settembre 2016 consid. 4.2.2 seg. e 8C_245/2011 del 25 agosto 2011 consid. 5.3). Per quanto attiene ai rapporti dei medici curanti il tribunale può e deve tenere conto del fatto che, per esperienza, nel dubbio essi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la DTF 124 I 170 consid. 4) non basta, per sé stessa, per mettere in discussione una perizia</w:t>
      </w:r>
    </w:p>
    <w:p>
      <w:r>
        <w:t>- 18 -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(sentenze del Tribunale federale 8C_317/2019 del 30 settembre 2019 consid. 2.3, 8C_379/2019 del 21 agosto 2019 consid. 2.2 e 8C_835/2018 del 23 aprile 2019 consid. 3).</w:t>
      </w:r>
    </w:p>
    <w:p>
      <w:r>
        <w:rPr>
          <w:b/>
        </w:rPr>
        <w:t>E. 4.6</w:t>
      </w:r>
    </w:p>
    <w:p>
      <w:r>
        <w:t>In termini fattuali e temporali, nella procedura di ricorso per il tribunale adito è principalmente determinante lo stato di salute come si è concretizzato al momento dell'emanazione della decisione impugnata (vedi fra tante la sentenza del Tribunale federale 8C_136/2017 del 7 agosto 2017 consid. 3; cfr. UELI KIESER, op. cit., n. 109 ad art. 61 LPGA). Nel caso qui in giudizio vanno dunque considerate le circostanze sussistenti il 17 giugno 2022. 5.1 Da valutare è la capacità lavorativa ragionevolmente esigibile dal ricorrente a partire dal 1° novembre 2020. 5.1.1. Il ricorrente nel ricorso formula una richiesta costitutiva di annullamento della decisione del 17 giugno 2022 e due richieste di constatazione, di più al riguardo si dirà sotto. Inoltre il ricorrente richiede l'audizione testimoniale della datrice di lavoro, signora T._____. A sostegno di quanto richiesto il ricorrente afferma di essere tuttora inabile al lavoro al 50% e ciò a far data dal 24 settembre 2020 e non sarebbe possibile attendersi miglioramenti. I lavori fisico-manuali potrebbero essere svolti unicamente in una misura non superiore al 50%. La sua formazione scolastica, 5 anni di scuola elementare in W._____, e professionale, solo qualche corso di formazione da muratore in Svizzera,</w:t>
      </w:r>
    </w:p>
    <w:p>
      <w:r>
        <w:t>- 19 - non gli consentirebbe di trovare un'attività differente e meno gravosa di quella che già svolgerebbe. Dopo la scuola egli avrebbe subito lavorato e appena maggiorenne si sarebbe trasferito in Svizzera. Egli saprebbe solo il X._____. Considerato tutto ciò egli non potrebbe svolgere un lavoro da ufficio. Il lavoro alternativo ipotizzato dal convenuto, non sarebbe praticabile visto lo sforzo eccessivo. Inoltre la formazione per l'utilizzo idoneo e sicuro di tali macchinari, non risulterebbe possibile da svolgere, visti i limiti linguistici e accademici del ricorrente. Ciò si applicherebbe a qualsiasi formazione. L'unica attività lavorativa che potrebbe esercitare il ricorrente sarebbe una analoga a quella svolta prima dell'incidente. Infine nonostante la ricerca di un'attività alternativa meno fisicamente pesante, egli non avrebbe ancora avuto successo, prendendo in considerazione, oltre allo stato di salute, anche le sue competenze linguistiche e professionali e la situazione pandemica da inizio 2020. In ragione di quando detto, il convenuto non potrebbe quindi pretendere che il ricorrente abbandoni l'attuale posto di lavoro al 30%, dove egli esaurirebbe la sua capacità lavorativa residua, per trovare un'altra attività meno gravosa. Inoltre il convenuto non avrebbe preso in considerazione i certificati e gli esami medici più recenti (segnatamente 19 e 22 gennaio, 28 aprile 2022), quindi non avrebbe tenuto conto dell'evoluzione della situazione, segnatamente che il ripristino della situazione fisica del ricorrente si estinguerebbero piano piano e che al ricorrente non sarebbe possibile riacquistare la sensibilità e forza nell'arto superiore destro. Il ricorrente critica il fatto che il convenuto si baserebbe unicamente sulla valutazione medica della Clinica N._____ dell'agosto 2020, la quale però risalirebbe a oltre due anni ante il ricorso e non terrebbe conto dell'evoluzione della situazione medica del ricorrente nonché nemmeno sarebbe condiviso dai medici del KSGR. Riguardo a tale rapporto egli critica che esso non terrebbe conto delle caratteristiche estranee all'invalidità del ricorrente, quali la conoscenza delle lingue e il percorso professionale svolto, motivi</w:t>
      </w:r>
    </w:p>
    <w:p>
      <w:r>
        <w:t>- 20 - per i quali non ci sarebbero altre professioni esigibili se non una professione fisico-manuale. Il Dr. med. Q._____ della Clinica N._____, avrebbe consigliato la prova di un lavoro meno gravoso, senza esprimersi sulla capacità lavorativa, tantomeno definendola al 50%. Il convenuto non avrebbe effettuato un controllo di quanto riportato dalla Clinica N._____, per esempio il Dr. med. Q._____, vista l'apparente gravità delle condizioni del ricorrente, avrebbe consigliato un controllo clinico e neurografico. Secondo il ricorrente non ci sarebbero possibilità di miglioramento, visto che il nervo mediano reciso non potrebbe mai più essere ripristinato e la porzione di muscolo asportata dal braccio destro, non potrebbe più essere recuperata. Il ricorrente richiede dunque una nuova perizia medica formale. Egli menziona che non sarebbe mai stato sottoposto all'esame degli specialisti dell'orientamento professionale, inoltre non gli sarebbe mai stato assegnato un perito che potesse determinare le sue condizioni. Il ricorrente afferma che l'essersi iscritto all'URC con un grado d'occupazione del 100% dimostri soltanto quanto le sue conoscenze linguistiche siano scarse. Egli si sarebbe iscritto all'URC per non dipendere dalle assicurazioni assistenziali. 5.1.2. Il convenuto per quanto concerne la fattispecie rinvia agli atti allegati e rimanda alla motivazione della sua decisione del 17 giugno 2022. Egli riconferma che dalla documentazione medica raccolta agli atti risulta che il ricorrente presenterebbe una capacità lavorativa del 100% a partire dal 24 agosto 2020 in un'attività adeguata allo stato di salute, ovvero un'attività senza elevata esigenza alla sensibilità e alla motricità fine della mano destra. Secondo il convenuto, nemmeno la documentazione medica prodotta dal ricorrente sarebbe da ritenere come valida per scalfire la valutazione dei dottori della Clinica N._____ o del Dr. med. S._____ del SMR, in quanto in merito i dottori del KSGR non si sarebbero espressi. Il</w:t>
      </w:r>
    </w:p>
    <w:p>
      <w:r>
        <w:t>- 21 - rapporto medico del 22 gennaio 2022 si baserebbe solo sull'attività originaria del ricorrente. Inoltre sarebbe anche da considerare la valutazione del Dr. med. V._____ del 2 marzo 2022, il quale riconfermerebbe quanto già ritenuto con i due rapporti appena citati. Un'audizione della datrice di lavoro non garantirebbe un valido chiarimento delle contraddizioni. 5.1.3. Dal rapporto interdisciplinare della Clinica N._____ del 26 agosto 2020 (doc. 25 – pag. 14-16 convenuto) si evince che il nervo mediano e l'arteria brachiale destri sono stati recisi completamente. Si attestava la presenza ancora di disturbi della motricità fine nell'area della mano destra e un leggero deficit di forza nell'area dell'avambraccio destro nella zona sensibile e di alimentazione motoria del nervo mediano destro. A causa del disturbo motorio e delle alterazioni della sensibilità nell'area della mano destra, le attività di motricità fine o l'uso di una grande forza della mano sono stati ritenuti possibili in misura ridotta. L'accertamento ergonomico aveva evidenziato come problemi rilevanti per il lavoro, una ridotta coordinazione e forza della mano destra. Dal punto di vista del team interdisciplinare, in particolare considerando l'accertamento ergonomico, non perdurava più un'incapacità lavorativa rilevante. Il ricorrente era stato raramente in grado di manipolare pesi fino a 27,5 kg, il che corrisponde a un carico di lavoro medio-pesante. Tuttavia, a causa dei disturbi residui nell'area del nervo mediano destro, non avrebbero dovuto essere fatte richieste alla coordinazione e alla motricità fine della mano destra. Anche i lavori manuali grossolani non erano possibili a causa dell'ancora ridotta forza nella zona della mano destra. Per motivi di sicurezza, il trasporto con una sola mano o salire sulla scala a pioli con pesi a destra, avrebbero dovuto essere effettuati solo con pesi leggeri.</w:t>
      </w:r>
    </w:p>
    <w:p>
      <w:r>
        <w:t>- 22 - In conclusione si riteneva che il ricorrente poteva solo parzialmente esercitare la sua attività lavorativa precedente. Per lui era problematico maneggiare pesi pesanti e sollevare e trasportare pesi all'altezza della testa o oltre la testa. Tuttavia, tenendo conto dei deficit funzionali osservati, avrebbe dovuto essere possibile riprendere il lavoro come custode con carico lavorativo del 50%. Si riteneva poi che tramite un'ulteriore miglioramento della forza della mano e delle capacità motorie, avrebbe dovuto essere possibile aumentare in futuro la capacità lavorativa nell'attività originaria. In alternativa il ricorrente poteva svolgere da subito in misura del 100%, qualsiasi attività adeguata allo stato di salute, tenendo conto delle limitazioni funzionali descritte nella relazione ergonomica. Riguardo al trattamento in corso, ritenuto corretto, si consigliava in aggiunta, per incrementare la forza, una terapia medica d'esercizio e il continuamento settimanale delle sedute di ergoterapia, per incrementare la forza. Si riteneva che tramite fisioterapia ed ergoterapia di supporto, la funzione e la forza della mano potessero migliorare. Il rapporto ergonomico del 21 agosto 2020 del fisioterapista R._____ (doc. 25 – pag. 1-10 convenuto) riteneva che la capacità di carico osservata, corrispondeva in sostanza a un'attività medio pesante-pesante, la quale prevedeva raramente pesi massimi di 27,5 kg da sollevare orizzontalmente. Tale capacità di carico era ritenuta ammissibile per l'intera giornata. Si rilevavano le restrizioni seguenti: nessuna richiesta di coordinazione della mano, soprattutto a destra, nessun lavoro manuale grossolano (forza della mano destra inferiore allo standard), rari sollevamenti dall'altezza della vita alla testa e questi di massimo 12,5 kg, infine salire la scala a pioli doveva essere fatto solo con dei pesi leggeri. Come raccomandazione terapeutica per il proseguimento del trattamento si consigliava per il potenziamento della forza un training medico- terapeutico (MTT) 2x alla settimana. Per migliorare la coordinazione della mano si consigliava di fare ergoterapia 1-2x alla settimana.</w:t>
      </w:r>
    </w:p>
    <w:p>
      <w:r>
        <w:t>- 23 - Il rapporto del 24 agosto 2020 del Dr. med. Q._____ (doc. 25 – pag. 11- 12 convenuto) riteneva che il decorso clinico era nel complesso molto soddisfacente. La forza muscolare dell'arto colpito non era significativamente limitata, in primo piano c'erano i disturbi sensoriali e la limitazione della motricità fine, sebbene nelle attività quotidiane il paziente non ne era particolarmente limitato, specificando che allo stato era incerto in che misura tale disturbo potesse influire sull'attività professionale originaria. Egli proponeva di prudentemente intraprendere un tentativo di lavoro, il quale inizialmente prevedesse attività semplici e non di motricità fine. Egli vedeva una regolare ergoterapia o fisioterapia di accompagnamento come scontate. Visto il buon decorso clinico non era escluso nei prossimi mesi un ulteriore miglioramento delle capacità motorie, in particolare della motricità fine. Il dottore consigliava un controllo clinico e neurografico nei prossimi 3-6 mesi. Il ricorrente affermava inoltre, che solo le attività di motricità fine gli causavano difficoltà, mentre le attività giornaliere non erano difficoltose. Il rapporto del Dr. med. P._____ del 26 agosto 2020 (doc. 25 – pag. 17-18 convenuto) attestava una discreta limitazione funzionale nell'area dell'arto superiore destro. Principalmente si riscontrava la riduzione della sensibilità e, in misura minore, anche la leggera debolezza motoria nell'area della mano destra. Egli consigliava di continuare con la fisioterapia o ergoterapia. Da un punto di vista prettamente reumatologico e muscoloscheletrico, nulla ostacolava il reinserimento nel mondo del lavoro. Il paziente avrebbe dovuto sopportare bene carichi, come quelli che potrebbero verificarsi durante l'attività come custode. Solo le attività di motricità fine, che richiedono una buona sensibilità e un buon controllo motorio della mano destra, erano possibili in misura limitata. 5.1.4. Il Dr. med. S._____, SMR, confermava tramite rapporto medico del 9 novembre 2020 (riconfermato anche in data 9 marzo 2021) le ferite riportate dall'incidente. Egli richiamava il rapporto della Clinica N._____</w:t>
      </w:r>
    </w:p>
    <w:p>
      <w:r>
        <w:t>- 24 - riguardo il decorso. Inoltre egli ha interamente richiamato quanto ritenuto dal Dr. med. P._____ riguardo al reinserimento professionale del ricorrente, aggiungendo poi che si prevedevano ulteriori miglioramenti e adattamenti (doc. 34 – pag. 3-4 convenuto). 5.1.5. Con rapporto medico del 2 marzo 2022 il Dr. med. V._____, SMR, in seguito all'analisi del rapporto del 22 gennaio 2022, di cui si dirà sotto, è arrivato alla conclusione che non c'era motivo di modificare la valutazione già a suo tempo espressa. Egli riteneva che si poteva considerare il quadro stabilizzato a decorrere dall'agosto 2020 (accertamento Clinica N._____), aggiungendo che "notoriamente i danni neurologici post-traumatici, dopo neuroraffia si stabilizzano entro l'anno e non sono successivamente suscettibili di evoluzione clinica né in senso migliorativo né in senso peggiorativo". Il rapporto sottolineava inoltre che il certificato del 22 gennaio 2022 del Dr. med. U._____, KSGR, corroborava tale tesi. Il fatto che tale certificato attestasse un'inabilità lavorativa del 70% in attività manuali fini e mansioni artigianali, oltre che essere un parere soggettivo, non necessariamente condivisibile, si armonizzava con la valutazione di un'inabilità lavorativa al 50% in occupazioni proprie, cioè che prevedono mansioni necessitanti motricità fine della mano, con prognosi fino al 30 aprile 2022 (doc. 86 – pag. 20-21 convenuto). 5.1.6. I rapporti e certificati medici antecedenti la valutazione della Clinica N._____, generalmene attestavano miglioramenti, un decorso regolare e un'incapacità lavorativa al 100%. Nella maggior parte dei casi si trattava di rapporti medici dettagliati. 5.1.7. Rilevanti sono in particolare i rapporti medici seguenti la valutazione della clinica e qui non ancora citati, i quali riguardo alle capacità lavorative del ricorrente, rimangono in linea con quanto ritenuto dalla clinica:</w:t>
      </w:r>
    </w:p>
    <w:p>
      <w:r>
        <w:t>- 25 - - Il rapporto del 25 settembre 2020 del KSGR asseriva una capacità lavorativa del 50% nell'attività precedente, con tentativo di incremento nel tempo a seguire (doc. 4 ricorrente). - Lo stesso vale per il rapporto del 29 marzo 2021 del KSGR, il quale attestava una capacità lavorativa del 50% fino al 25 aprile 2021 con successiva possibilità di incremento (doc. 52 – pag. 21-22 convenuto). - Con certificato medico del 7 luglio 2021, del Dr. med. O._____, tale capacità lavorativa veniva confermata e inoltre veniva addirittura attestata un'incapacità lavorativa nulla a partire dal 1° agosto 2021. Con ulteriore certificato del medesimo giorno egli attestava anche un'incapacità lavorativa del 50% perdurante dal 25 marzo 2021 a dicembre 2021 (doc. 10 ricorrente). - Tale incapacità lavorativa veniva confermata con certificato medico del KSGR del 19 gennaio 2022 fino al 30 aprile 2022 (doc. 11 ricorrente). - Infine il certificato del 22 gennaio 2022 attestava che lo stato finale era stato raggiunto e la capacità lavorativa era da allora di massimo 30% per attività di motricità fine così come lavori artigianali repetitivi di lunga durata, l'incapacità lavorativa era del 50% fino al 30 aprile 2022. - Questa incapacità è stata riconfermata fino al 30 giugno 2022 con certificato del 28 aprile 2022 del KSGR (doc. 13 ricorrente). 5.1.8. Nei rapporti medici è determinante che i punti litigiosi importanti siano stati oggetto di uno studio approfondito. Soltanto i rapporti medici motivati, fondati su esami completi, consideranti i disturbi lamentati dall'assicurato, stilati in piena conoscenza dell'incarto con una chiara descrizione del contesto medico e della situazione medica, con conclusioni ben motivate, rivestono valore probatorio. Tale valore probatorio non può di conseguenza essere ammesso per i seguenti rapporti e certificati: 7 luglio 2021, 19 gennaio 2022 e 28 aprile 2022. Detti certificati non sono motivati e non si esprimono riguardo l'(in)capacità lavorativa e lo stato di salute allora attuale del ricorrente. Essi inoltre non si sono confrontati con le</w:t>
      </w:r>
    </w:p>
    <w:p>
      <w:r>
        <w:t>- 26 - risultanze mediche della Clinica N._____ e dei medici del SMR. Da sottolineare che le informazioni contenute nei certificati medici del Dr. med. O._____ del 7 luglio 2021 sono addirittura contradditorie. Per quanto riguarda i restanti certificati medici, essi rivestono pieno valore probatorio. A tal riguardo, e contrariamente a quanto lamentato dal ricorrente, giustamente il convenuto non ha preso in considerazione i certificati medici più recenti, quindi del 19 gennaio e 28 aprile 2022, inoltrati dal ricorrente. Tenuto conto di quanto detto, il rapporto interdisciplinare della Clinica N._____ rappresenta un accertamento di specialisti esterni, i quali, in base a indagini e osservazioni approfondite e avendo preso visione di tutta la documentazione medica, considerando anche l'incarto dell'assicurazione infortuni, nonché i dati richiesti e le dichiarazioni del ricorrente nonché degli esami clinici assolti, hanno rappresentato un quadro globale della situazione e dell' (in)capacità lavorativa del ricorrente. Essi sono giunti a delle conclusioni chiare, complete e motivate. Il convenuto è da appoggiare quando ritiene che la valutazione medica della Clinica fornisce un quadro sufficientemente chiaro in merito alla stato di salute e le conseguenze sull'incapacità lavorativa. L'analisi risulta convincente, coerente e anche comprensibile, ed è l'unica analisi così approfondita presente nell'incarto. Tale accertamento riveste quindi pieno valore probatorio. Si sottolinea che i rapporti della clinica sono inoltre stati confermati anche dai Dr. med. S._____ e Dr. med. V._____. Tali rapporti, redatti da periti impiegati dall'assicurazione, rivestono un valore probatorio comparabile a quello degli esperti esterni, in quanto appaiono conclusivi, motivati in maniera comprensibile e senza contraddizioni. Il convenuto si è quindi giustamente basato in maniera preponderante sui rapporti medici sopracitati. Riguardo alle lamentele del ricorrente si ritiene quanto segue. Visto che il convenuto si è basato su più rapporti medici (vedi anche Dr. med. S._____, Dr. med. V._____), i quali peraltro sono anche più recenti (risp.</w:t>
      </w:r>
    </w:p>
    <w:p>
      <w:r>
        <w:t>- 27 -</w:t>
      </w:r>
    </w:p>
    <w:p>
      <w:r>
        <w:rPr>
          <w:b/>
        </w:rPr>
        <w:t>E. 9</w:t>
      </w:r>
    </w:p>
    <w:p>
      <w:r>
        <w:t>In conclusione per i suesposti motivi, la decisione impugnata è confermata e il ricorso è respinto nella misura in cui è ricevibile.</w:t>
      </w:r>
    </w:p>
    <w:p>
      <w:r>
        <w:rPr>
          <w:b/>
        </w:rPr>
        <w:t>E. 10</w:t>
      </w:r>
    </w:p>
    <w:p>
      <w:r>
        <w:t>Giusta l'art. 69 cpv. 1bis LAI i.c.d. con l'art. 61 lett. fbis LPGA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 Nell'evenienza, considerato che il dispendio per il presente caso rientra nella media, i costi processuali sono fissati a CHF 700.00. I costi processuali sono posti interamente a carico del ricorrente, dato che nella procedura di ricorso la parte soccombente deve di regola assumersi le spese (art. 73 cpv. 1 LGA). III. Per questi motivi il Tribunale giudica: 1. Il ricorso è respinto nella misura in cui è ricevibile. 2. Le spese processuali di CHF 700.00 sono poste a carico del ricorrente.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